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F40A2" w14:textId="6A129540" w:rsidR="00155F77" w:rsidRPr="00155F77" w:rsidRDefault="00155F77" w:rsidP="00155F77">
      <w:pPr>
        <w:ind w:left="480" w:hanging="48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55F77">
        <w:rPr>
          <w:rFonts w:ascii="Times New Roman" w:eastAsia="標楷體" w:hAnsi="Times New Roman" w:cs="Times New Roman"/>
          <w:b/>
          <w:bCs/>
          <w:sz w:val="32"/>
          <w:szCs w:val="32"/>
        </w:rPr>
        <w:t>新藥或</w:t>
      </w:r>
      <w:proofErr w:type="gramStart"/>
      <w:r w:rsidRPr="00155F77">
        <w:rPr>
          <w:rFonts w:ascii="Times New Roman" w:eastAsia="標楷體" w:hAnsi="Times New Roman" w:cs="Times New Roman"/>
          <w:b/>
          <w:bCs/>
          <w:sz w:val="32"/>
          <w:szCs w:val="32"/>
        </w:rPr>
        <w:t>醫</w:t>
      </w:r>
      <w:proofErr w:type="gramEnd"/>
      <w:r w:rsidRPr="00155F77">
        <w:rPr>
          <w:rFonts w:ascii="Times New Roman" w:eastAsia="標楷體" w:hAnsi="Times New Roman" w:cs="Times New Roman"/>
          <w:b/>
          <w:bCs/>
          <w:sz w:val="32"/>
          <w:szCs w:val="32"/>
        </w:rPr>
        <w:t>材開發公司申請上櫃之公開說明書揭露重點參考</w:t>
      </w:r>
    </w:p>
    <w:p w14:paraId="1092C67B" w14:textId="47151716" w:rsidR="0009348A" w:rsidRPr="00155F77" w:rsidRDefault="00155F77" w:rsidP="00155F77">
      <w:pPr>
        <w:pStyle w:val="a8"/>
        <w:numPr>
          <w:ilvl w:val="0"/>
          <w:numId w:val="11"/>
        </w:numPr>
        <w:spacing w:afterLines="50" w:after="180" w:line="480" w:lineRule="exact"/>
        <w:ind w:leftChars="0" w:left="567" w:hanging="567"/>
        <w:jc w:val="both"/>
        <w:rPr>
          <w:rFonts w:ascii="Times New Roman" w:eastAsia="標楷體" w:hAnsi="Times New Roman" w:cs="Times New Roman"/>
        </w:rPr>
      </w:pPr>
      <w:proofErr w:type="gramStart"/>
      <w:r w:rsidRPr="00155F77">
        <w:rPr>
          <w:rFonts w:ascii="Times New Roman" w:eastAsia="標楷體" w:hAnsi="Times New Roman" w:cs="Times New Roman" w:hint="eastAsia"/>
          <w:sz w:val="28"/>
          <w:szCs w:val="28"/>
        </w:rPr>
        <w:t>循</w:t>
      </w:r>
      <w:proofErr w:type="gramEnd"/>
      <w:r w:rsidRPr="00155F77">
        <w:rPr>
          <w:rFonts w:ascii="Times New Roman" w:eastAsia="標楷體" w:hAnsi="Times New Roman" w:cs="Times New Roman" w:hint="eastAsia"/>
          <w:sz w:val="28"/>
          <w:szCs w:val="28"/>
        </w:rPr>
        <w:t>科技事業申請上櫃之新藥或</w:t>
      </w:r>
      <w:proofErr w:type="gramStart"/>
      <w:r w:rsidRPr="00155F77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Pr="00155F77">
        <w:rPr>
          <w:rFonts w:ascii="Times New Roman" w:eastAsia="標楷體" w:hAnsi="Times New Roman" w:cs="Times New Roman" w:hint="eastAsia"/>
          <w:sz w:val="28"/>
          <w:szCs w:val="28"/>
        </w:rPr>
        <w:t>材開發公司，</w:t>
      </w:r>
      <w:r w:rsidR="002F54F5">
        <w:rPr>
          <w:rFonts w:ascii="Times New Roman" w:eastAsia="標楷體" w:hAnsi="Times New Roman" w:cs="Times New Roman" w:hint="eastAsia"/>
          <w:sz w:val="28"/>
          <w:szCs w:val="28"/>
        </w:rPr>
        <w:t>除應依本中心「</w:t>
      </w:r>
      <w:r w:rsidR="002F54F5" w:rsidRPr="002F54F5">
        <w:rPr>
          <w:rFonts w:ascii="Times New Roman" w:eastAsia="標楷體" w:hAnsi="Times New Roman" w:cs="Times New Roman" w:hint="eastAsia"/>
          <w:sz w:val="28"/>
          <w:szCs w:val="28"/>
        </w:rPr>
        <w:t>申請有價證券於證券商營業處所買賣之公開說明書應記載事項準則</w:t>
      </w:r>
      <w:r w:rsidR="002F54F5">
        <w:rPr>
          <w:rFonts w:ascii="Times New Roman" w:eastAsia="標楷體" w:hAnsi="Times New Roman" w:cs="Times New Roman" w:hint="eastAsia"/>
          <w:sz w:val="28"/>
          <w:szCs w:val="28"/>
        </w:rPr>
        <w:t>」編製公開說明書外，並</w:t>
      </w:r>
      <w:r>
        <w:rPr>
          <w:rFonts w:ascii="Times New Roman" w:eastAsia="標楷體" w:hAnsi="Times New Roman" w:cs="Times New Roman" w:hint="eastAsia"/>
          <w:sz w:val="28"/>
          <w:szCs w:val="28"/>
        </w:rPr>
        <w:t>宜參酌下表</w:t>
      </w:r>
      <w:r w:rsidR="0009348A" w:rsidRPr="00155F77">
        <w:rPr>
          <w:rFonts w:ascii="Times New Roman" w:eastAsia="標楷體" w:hAnsi="Times New Roman" w:cs="Times New Roman"/>
          <w:sz w:val="28"/>
          <w:szCs w:val="28"/>
        </w:rPr>
        <w:t>加強公開說明書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09348A" w:rsidRPr="00155F77">
        <w:rPr>
          <w:rFonts w:ascii="Times New Roman" w:eastAsia="標楷體" w:hAnsi="Times New Roman" w:cs="Times New Roman"/>
          <w:sz w:val="28"/>
          <w:szCs w:val="28"/>
        </w:rPr>
        <w:t>資訊揭露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</w:t>
      </w:r>
      <w:r w:rsidR="004255D3" w:rsidRPr="00155F77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Style w:val="a7"/>
        <w:tblW w:w="9582" w:type="dxa"/>
        <w:jc w:val="center"/>
        <w:tblLook w:val="04A0" w:firstRow="1" w:lastRow="0" w:firstColumn="1" w:lastColumn="0" w:noHBand="0" w:noVBand="1"/>
      </w:tblPr>
      <w:tblGrid>
        <w:gridCol w:w="3969"/>
        <w:gridCol w:w="5613"/>
      </w:tblGrid>
      <w:tr w:rsidR="00155F77" w:rsidRPr="00155F77" w14:paraId="12167F8C" w14:textId="61531A90" w:rsidTr="000D7F57">
        <w:trPr>
          <w:tblHeader/>
          <w:jc w:val="center"/>
        </w:trPr>
        <w:tc>
          <w:tcPr>
            <w:tcW w:w="3969" w:type="dxa"/>
          </w:tcPr>
          <w:p w14:paraId="137B22EF" w14:textId="4C0F362C" w:rsidR="00155F77" w:rsidRPr="00155F77" w:rsidRDefault="00155F77" w:rsidP="000934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公開說明書揭露處</w:t>
            </w:r>
          </w:p>
        </w:tc>
        <w:tc>
          <w:tcPr>
            <w:tcW w:w="5613" w:type="dxa"/>
          </w:tcPr>
          <w:p w14:paraId="75F7DAC6" w14:textId="055154C9" w:rsidR="00155F77" w:rsidRPr="00155F77" w:rsidRDefault="00155F77" w:rsidP="000934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加強揭露內容</w:t>
            </w:r>
          </w:p>
        </w:tc>
      </w:tr>
      <w:tr w:rsidR="00155F77" w:rsidRPr="00155F77" w14:paraId="29A11984" w14:textId="3D122D13" w:rsidTr="000D7F57">
        <w:trPr>
          <w:jc w:val="center"/>
        </w:trPr>
        <w:tc>
          <w:tcPr>
            <w:tcW w:w="3969" w:type="dxa"/>
          </w:tcPr>
          <w:p w14:paraId="16525590" w14:textId="4245AD2C" w:rsidR="00155F77" w:rsidRPr="00155F77" w:rsidRDefault="00155F77" w:rsidP="00686C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封面</w:t>
            </w:r>
          </w:p>
        </w:tc>
        <w:tc>
          <w:tcPr>
            <w:tcW w:w="5613" w:type="dxa"/>
          </w:tcPr>
          <w:p w14:paraId="6FA933BA" w14:textId="35F3327B" w:rsidR="00155F77" w:rsidRPr="00155F77" w:rsidRDefault="00155F77" w:rsidP="0009348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以顯著字體註明「本公司係</w:t>
            </w:r>
            <w:r w:rsidRPr="00155F77">
              <w:rPr>
                <w:rFonts w:ascii="Times New Roman" w:eastAsia="標楷體" w:hAnsi="Times New Roman" w:cs="Times New Roman" w:hint="eastAsia"/>
                <w:szCs w:val="24"/>
              </w:rPr>
              <w:t>新藥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醫療器材</w:t>
            </w:r>
            <w:r w:rsidRPr="00155F77">
              <w:rPr>
                <w:rFonts w:ascii="Times New Roman" w:eastAsia="標楷體" w:hAnsi="Times New Roman" w:cs="Times New Roman" w:hint="eastAsia"/>
                <w:szCs w:val="24"/>
              </w:rPr>
              <w:t>開發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公司，產品開發時程長、投入經費高且未保證一定能成功，請投資人特別注意且詳細閱讀本公開說明書內容，並謹慎作投資決定」，並敘明相關營運風險說明之頁次索引。</w:t>
            </w:r>
          </w:p>
        </w:tc>
      </w:tr>
      <w:tr w:rsidR="00155F77" w:rsidRPr="00155F77" w14:paraId="5D78DDE0" w14:textId="33E73F4B" w:rsidTr="000D7F57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0427E173" w14:textId="433BBD39" w:rsidR="00155F77" w:rsidRPr="00155F77" w:rsidRDefault="00155F77" w:rsidP="00686C4D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b/>
                <w:bCs/>
                <w:szCs w:val="24"/>
              </w:rPr>
              <w:t>風險事項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14:paraId="0900A61D" w14:textId="0622D93B" w:rsidR="00155F77" w:rsidRPr="00155F77" w:rsidRDefault="00155F77" w:rsidP="00410C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F77" w:rsidRPr="00155F77" w14:paraId="2229D851" w14:textId="00E67453" w:rsidTr="000D7F57">
        <w:trPr>
          <w:jc w:val="center"/>
        </w:trPr>
        <w:tc>
          <w:tcPr>
            <w:tcW w:w="3969" w:type="dxa"/>
          </w:tcPr>
          <w:p w14:paraId="4AE17F6B" w14:textId="47E1F9DF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「公司募集發行有價證券公開說明書應行記載事項準則」第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70C2C13" w14:textId="21801CE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一、風險因素：</w:t>
            </w:r>
          </w:p>
          <w:p w14:paraId="5EBB3CDB" w14:textId="5903C538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十二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其他重要風險及因應措施。</w:t>
            </w:r>
          </w:p>
        </w:tc>
        <w:tc>
          <w:tcPr>
            <w:tcW w:w="5613" w:type="dxa"/>
          </w:tcPr>
          <w:p w14:paraId="51DA0355" w14:textId="65D70C0C" w:rsidR="00155F77" w:rsidRPr="00155F77" w:rsidRDefault="00155F77" w:rsidP="00E03971">
            <w:pPr>
              <w:pStyle w:val="a8"/>
              <w:ind w:leftChars="0" w:left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5F6081F" w14:textId="4AA245FB" w:rsidR="00155F77" w:rsidRPr="00155F77" w:rsidRDefault="00155F77" w:rsidP="00E03971">
            <w:pPr>
              <w:pStyle w:val="a8"/>
              <w:ind w:leftChars="0" w:left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E639B47" w14:textId="77777777" w:rsidR="00155F77" w:rsidRPr="00155F77" w:rsidRDefault="00155F77" w:rsidP="00E03971">
            <w:pPr>
              <w:pStyle w:val="a8"/>
              <w:ind w:leftChars="0" w:left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3CDED34" w14:textId="58407C99" w:rsidR="00155F77" w:rsidRPr="00155F77" w:rsidRDefault="00155F77" w:rsidP="00E03971">
            <w:pPr>
              <w:pStyle w:val="a8"/>
              <w:numPr>
                <w:ilvl w:val="0"/>
                <w:numId w:val="4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揭露面臨研發產品無法開發成功、銷售未如預期或無法授權予他人之風險及所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因應措施。</w:t>
            </w:r>
          </w:p>
          <w:p w14:paraId="501A75E6" w14:textId="33F0F134" w:rsidR="00155F77" w:rsidRPr="00155F77" w:rsidRDefault="00155F77" w:rsidP="00E03971">
            <w:pPr>
              <w:pStyle w:val="a8"/>
              <w:numPr>
                <w:ilvl w:val="0"/>
                <w:numId w:val="4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揭露臨床試驗或臨床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上市後用藥生產依賴第三方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CRO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CMO)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之風險及所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因應措施。</w:t>
            </w:r>
          </w:p>
        </w:tc>
      </w:tr>
      <w:tr w:rsidR="00155F77" w:rsidRPr="00155F77" w14:paraId="79447997" w14:textId="123906BC" w:rsidTr="000D7F57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00E4B052" w14:textId="4C85E7E2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公司之經營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14:paraId="604CFA60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F77" w:rsidRPr="00155F77" w14:paraId="3045F069" w14:textId="6DAE76E3" w:rsidTr="000D7F57">
        <w:trPr>
          <w:jc w:val="center"/>
        </w:trPr>
        <w:tc>
          <w:tcPr>
            <w:tcW w:w="3969" w:type="dxa"/>
          </w:tcPr>
          <w:p w14:paraId="196C50D3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「公司募集發行有價證券公開說明書應行記載事項準則」第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CA0D94B" w14:textId="1E21615D" w:rsidR="00155F77" w:rsidRPr="00155F77" w:rsidRDefault="00155F77" w:rsidP="00E03971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業務內容：</w:t>
            </w:r>
          </w:p>
          <w:p w14:paraId="31BCE0EC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產業概況：</w:t>
            </w:r>
          </w:p>
          <w:p w14:paraId="12E0D7FB" w14:textId="0B461AF9" w:rsidR="00155F77" w:rsidRPr="00155F77" w:rsidRDefault="00155F77" w:rsidP="00E03971">
            <w:pPr>
              <w:ind w:leftChars="170" w:left="4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說明產業之現況與發展，產業上、中、下游之關聯性，產品之各種發展趨勢及競爭情形。</w:t>
            </w:r>
          </w:p>
        </w:tc>
        <w:tc>
          <w:tcPr>
            <w:tcW w:w="5613" w:type="dxa"/>
          </w:tcPr>
          <w:p w14:paraId="1270A0F3" w14:textId="4F0EEB9E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A71E68A" w14:textId="26AC9109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544D5C5" w14:textId="7CC9B5B0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0340CFC" w14:textId="0B2DA007" w:rsidR="00155F77" w:rsidRPr="00155F77" w:rsidRDefault="00155F77" w:rsidP="00E03971">
            <w:pPr>
              <w:pStyle w:val="a8"/>
              <w:numPr>
                <w:ilvl w:val="0"/>
                <w:numId w:val="7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「產業之現況與發展」應聚焦於產品適應症，並應以特定臨床應用族群，及以查驗登記或未來擬授權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銷售地區為主要說明對象。</w:t>
            </w:r>
          </w:p>
          <w:p w14:paraId="56CA770C" w14:textId="3316FB80" w:rsidR="00155F77" w:rsidRPr="00155F77" w:rsidRDefault="00155F77" w:rsidP="00E03971">
            <w:pPr>
              <w:pStyle w:val="a8"/>
              <w:numPr>
                <w:ilvl w:val="0"/>
                <w:numId w:val="7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「產品之各種發展趨勢」應說明公司擬發展之適應症，其治療方式發展趨勢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例如大小分子、合併療法、作用機轉等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；「競爭情形」應包含相同適應症已上市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包含各線用藥、各線治療方式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及臨床中之主要競爭對象。</w:t>
            </w:r>
          </w:p>
        </w:tc>
      </w:tr>
      <w:tr w:rsidR="00155F77" w:rsidRPr="00155F77" w14:paraId="0912BF1C" w14:textId="67AE4137" w:rsidTr="000D7F57">
        <w:trPr>
          <w:jc w:val="center"/>
        </w:trPr>
        <w:tc>
          <w:tcPr>
            <w:tcW w:w="3969" w:type="dxa"/>
          </w:tcPr>
          <w:p w14:paraId="72197BB8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技術及研發概況：</w:t>
            </w:r>
          </w:p>
          <w:p w14:paraId="77B307EC" w14:textId="1E81BC17" w:rsidR="00155F77" w:rsidRPr="00155F77" w:rsidRDefault="00155F77" w:rsidP="00E03971">
            <w:pPr>
              <w:ind w:leftChars="170" w:left="4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列明所營業務之技術層次、研究發展、研究發展人員與其學經歷及最近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五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年度每年投入之研發費用與開發成功之技術或產品。</w:t>
            </w:r>
          </w:p>
        </w:tc>
        <w:tc>
          <w:tcPr>
            <w:tcW w:w="5613" w:type="dxa"/>
          </w:tcPr>
          <w:p w14:paraId="631A865C" w14:textId="5B6077D7" w:rsidR="00155F77" w:rsidRPr="00155F77" w:rsidRDefault="00155F77" w:rsidP="00E03971">
            <w:pPr>
              <w:pStyle w:val="a8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「技術層次」應說明產品作用機轉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包含因授權取得之技術、自行研發或加值之技術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0D7F5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E82AF07" w14:textId="77777777" w:rsidR="00155F77" w:rsidRDefault="00155F77" w:rsidP="00E03971">
            <w:pPr>
              <w:pStyle w:val="a8"/>
              <w:numPr>
                <w:ilvl w:val="0"/>
                <w:numId w:val="8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「研究發展」應忠實揭露各期已公開之臨床試驗數據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包含重大不利事件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、與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各地藥事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主管機關之重要溝通內容。</w:t>
            </w:r>
          </w:p>
          <w:p w14:paraId="2A43E0C5" w14:textId="0F23766B" w:rsidR="002F54F5" w:rsidRPr="002F54F5" w:rsidRDefault="002F54F5" w:rsidP="002F54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F77" w:rsidRPr="00155F77" w14:paraId="41C9B6A6" w14:textId="21807D48" w:rsidTr="000D7F57">
        <w:trPr>
          <w:jc w:val="center"/>
        </w:trPr>
        <w:tc>
          <w:tcPr>
            <w:tcW w:w="3969" w:type="dxa"/>
          </w:tcPr>
          <w:p w14:paraId="7EF92D79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lastRenderedPageBreak/>
              <w:t>二、市場及產銷概況：</w:t>
            </w:r>
          </w:p>
          <w:p w14:paraId="38527CF5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市場分析：</w:t>
            </w:r>
          </w:p>
          <w:p w14:paraId="388D2379" w14:textId="4F90A289" w:rsidR="00155F77" w:rsidRPr="00155F77" w:rsidRDefault="00155F77" w:rsidP="00E03971">
            <w:pPr>
              <w:ind w:leftChars="170" w:left="4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分析公司主要商品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服務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之銷售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提供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地區、市場占有率及市場未來之供需狀況與成長性、競爭利基及發展遠景之有利、不利因素與因應對策。</w:t>
            </w:r>
          </w:p>
        </w:tc>
        <w:tc>
          <w:tcPr>
            <w:tcW w:w="5613" w:type="dxa"/>
          </w:tcPr>
          <w:p w14:paraId="5FFE182A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9969B1F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「市場分析」應聚焦於產品適應症，並應以特定臨床應用族群，及以查驗登記或未來擬授權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銷售地區為主要分析對象。</w:t>
            </w:r>
          </w:p>
        </w:tc>
      </w:tr>
      <w:tr w:rsidR="00155F77" w:rsidRPr="00155F77" w14:paraId="2331ED3B" w14:textId="5D273DDB" w:rsidTr="000D7F57">
        <w:trPr>
          <w:jc w:val="center"/>
        </w:trPr>
        <w:tc>
          <w:tcPr>
            <w:tcW w:w="3969" w:type="dxa"/>
          </w:tcPr>
          <w:p w14:paraId="1308C993" w14:textId="77777777" w:rsidR="00155F77" w:rsidRPr="00155F77" w:rsidRDefault="00155F77" w:rsidP="00E03971">
            <w:pPr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主要產品之重要用途及產製過程。</w:t>
            </w:r>
          </w:p>
          <w:p w14:paraId="574282A4" w14:textId="5329C7E5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主要原料之供應狀況。</w:t>
            </w:r>
          </w:p>
        </w:tc>
        <w:tc>
          <w:tcPr>
            <w:tcW w:w="5613" w:type="dxa"/>
          </w:tcPr>
          <w:p w14:paraId="2D9AB581" w14:textId="0466B0AE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應說明原料藥、製劑的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委外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生產情形、工廠資格、藥事主管機關對藥品生產的規範及要求。</w:t>
            </w:r>
          </w:p>
        </w:tc>
      </w:tr>
      <w:tr w:rsidR="00155F77" w:rsidRPr="00155F77" w14:paraId="21C18660" w14:textId="65794A59" w:rsidTr="000D7F57">
        <w:trPr>
          <w:jc w:val="center"/>
        </w:trPr>
        <w:tc>
          <w:tcPr>
            <w:tcW w:w="3969" w:type="dxa"/>
          </w:tcPr>
          <w:p w14:paraId="52F99DA0" w14:textId="47016BBD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本中心「申請有價證券於證券商營業處所買賣之公開說明書應記載事項準則」第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613" w:type="dxa"/>
          </w:tcPr>
          <w:p w14:paraId="4D20E20F" w14:textId="77777777" w:rsidR="00155F77" w:rsidRPr="00155F77" w:rsidRDefault="00155F77" w:rsidP="00E03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F77" w:rsidRPr="00155F77" w14:paraId="652675A9" w14:textId="4759F3B6" w:rsidTr="000D7F57">
        <w:trPr>
          <w:jc w:val="center"/>
        </w:trPr>
        <w:tc>
          <w:tcPr>
            <w:tcW w:w="3969" w:type="dxa"/>
          </w:tcPr>
          <w:p w14:paraId="67CA3C3C" w14:textId="02FD4A33" w:rsidR="00155F77" w:rsidRPr="00155F77" w:rsidRDefault="00155F77" w:rsidP="00E03971">
            <w:pPr>
              <w:ind w:left="408" w:hangingChars="170" w:hanging="4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市場及產銷概況部分，應增列產品技術分析暨持續發展之研究發展計畫，內容包括：</w:t>
            </w:r>
          </w:p>
          <w:p w14:paraId="01D47E9C" w14:textId="77777777" w:rsidR="00155F77" w:rsidRPr="00155F77" w:rsidRDefault="00155F77" w:rsidP="00E03971">
            <w:pPr>
              <w:pStyle w:val="a8"/>
              <w:numPr>
                <w:ilvl w:val="0"/>
                <w:numId w:val="9"/>
              </w:numPr>
              <w:ind w:leftChars="120" w:left="572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產品生產開發技術之層次、來源、確保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專利權及所受法律保護狀況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與提升。</w:t>
            </w:r>
          </w:p>
          <w:p w14:paraId="42314B29" w14:textId="28E55AAE" w:rsidR="00155F77" w:rsidRPr="00155F77" w:rsidRDefault="00155F77" w:rsidP="00E03971">
            <w:pPr>
              <w:pStyle w:val="a8"/>
              <w:numPr>
                <w:ilvl w:val="0"/>
                <w:numId w:val="9"/>
              </w:numPr>
              <w:ind w:leftChars="120" w:left="572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現在主要產品之競爭優勢、生命週期、持續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發展性暨新產品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之研究開發計畫。</w:t>
            </w:r>
          </w:p>
        </w:tc>
        <w:tc>
          <w:tcPr>
            <w:tcW w:w="5613" w:type="dxa"/>
          </w:tcPr>
          <w:p w14:paraId="4119EBC0" w14:textId="26CB1887" w:rsidR="00155F77" w:rsidRPr="00155F77" w:rsidRDefault="00155F77" w:rsidP="00E03971">
            <w:pPr>
              <w:pStyle w:val="a8"/>
              <w:numPr>
                <w:ilvl w:val="0"/>
                <w:numId w:val="10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產品生產開發技術之「來源」、「確保」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專利權及所受法律保護狀況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2976C565" w14:textId="53810D3D" w:rsidR="00155F77" w:rsidRPr="00155F77" w:rsidRDefault="00155F77" w:rsidP="00E03971">
            <w:pPr>
              <w:pStyle w:val="a8"/>
              <w:numPr>
                <w:ilvl w:val="1"/>
                <w:numId w:val="10"/>
              </w:numPr>
              <w:ind w:leftChars="0" w:left="624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技術「來源」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如係外購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，應揭露契約之授權範圍、重大權利義務。</w:t>
            </w:r>
          </w:p>
          <w:p w14:paraId="06A77425" w14:textId="3562D5AA" w:rsidR="00155F77" w:rsidRPr="00155F77" w:rsidRDefault="00155F77" w:rsidP="00E03971">
            <w:pPr>
              <w:pStyle w:val="a8"/>
              <w:numPr>
                <w:ilvl w:val="1"/>
                <w:numId w:val="10"/>
              </w:numPr>
              <w:ind w:leftChars="0" w:left="624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技術「確保」，應區分外購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授權或自行開發之專利，應說明</w:t>
            </w:r>
            <w:proofErr w:type="gramStart"/>
            <w:r w:rsidRPr="00155F77">
              <w:rPr>
                <w:rFonts w:ascii="Times New Roman" w:eastAsia="標楷體" w:hAnsi="Times New Roman" w:cs="Times New Roman"/>
                <w:szCs w:val="24"/>
              </w:rPr>
              <w:t>各地藥事</w:t>
            </w:r>
            <w:proofErr w:type="gramEnd"/>
            <w:r w:rsidRPr="00155F77">
              <w:rPr>
                <w:rFonts w:ascii="Times New Roman" w:eastAsia="標楷體" w:hAnsi="Times New Roman" w:cs="Times New Roman"/>
                <w:szCs w:val="24"/>
              </w:rPr>
              <w:t>主管機關對新藥開發的保護措施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如獨賣權、孤兒藥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55F7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81D3411" w14:textId="5878A7CB" w:rsidR="00155F77" w:rsidRPr="00155F77" w:rsidRDefault="00155F77" w:rsidP="00E03971">
            <w:pPr>
              <w:pStyle w:val="a8"/>
              <w:numPr>
                <w:ilvl w:val="0"/>
                <w:numId w:val="10"/>
              </w:numPr>
              <w:ind w:leftChars="0" w:left="284" w:hanging="28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F77">
              <w:rPr>
                <w:rFonts w:ascii="Times New Roman" w:eastAsia="標楷體" w:hAnsi="Times New Roman" w:cs="Times New Roman"/>
                <w:szCs w:val="24"/>
              </w:rPr>
              <w:t>現在主要產品之「持續發展性」暨「產品之研究開發計畫」：除以產品或技術平台本身說明外，並應說明短期營運資金之充足性，揭露目前主要產品及短期新產品開發計劃之</w:t>
            </w:r>
            <w:r w:rsidRPr="00155F77">
              <w:rPr>
                <w:rFonts w:ascii="Times New Roman" w:eastAsia="標楷體" w:hAnsi="Times New Roman" w:cs="Times New Roman"/>
              </w:rPr>
              <w:t>預計研發時程及費用支出，說明公司營運資金</w:t>
            </w:r>
            <w:r w:rsidRPr="00155F77">
              <w:rPr>
                <w:rFonts w:ascii="Times New Roman" w:eastAsia="標楷體" w:hAnsi="Times New Roman" w:cs="Times New Roman"/>
              </w:rPr>
              <w:t>(</w:t>
            </w:r>
            <w:r w:rsidRPr="00155F77">
              <w:rPr>
                <w:rFonts w:ascii="Times New Roman" w:eastAsia="標楷體" w:hAnsi="Times New Roman" w:cs="Times New Roman"/>
              </w:rPr>
              <w:t>含</w:t>
            </w:r>
            <w:r w:rsidRPr="00155F77">
              <w:rPr>
                <w:rFonts w:ascii="Times New Roman" w:eastAsia="標楷體" w:hAnsi="Times New Roman" w:cs="Times New Roman"/>
              </w:rPr>
              <w:t>IPO</w:t>
            </w:r>
            <w:r w:rsidRPr="00155F77">
              <w:rPr>
                <w:rFonts w:ascii="Times New Roman" w:eastAsia="標楷體" w:hAnsi="Times New Roman" w:cs="Times New Roman"/>
              </w:rPr>
              <w:t>募資金額</w:t>
            </w:r>
            <w:r w:rsidRPr="00155F77">
              <w:rPr>
                <w:rFonts w:ascii="Times New Roman" w:eastAsia="標楷體" w:hAnsi="Times New Roman" w:cs="Times New Roman"/>
              </w:rPr>
              <w:t>)</w:t>
            </w:r>
            <w:r w:rsidRPr="00155F77">
              <w:rPr>
                <w:rFonts w:ascii="Times New Roman" w:eastAsia="標楷體" w:hAnsi="Times New Roman" w:cs="Times New Roman"/>
              </w:rPr>
              <w:t>可用以支應至未來之時程，以利投資人判斷申請公司未來可能之再募資需求時點。</w:t>
            </w:r>
          </w:p>
        </w:tc>
      </w:tr>
    </w:tbl>
    <w:p w14:paraId="12815C36" w14:textId="77777777" w:rsidR="00155F77" w:rsidRDefault="00155F7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E4C65DF" w14:textId="4FB29EC2" w:rsidR="00A40D26" w:rsidRPr="00155F77" w:rsidRDefault="00A40D26" w:rsidP="000D7F57">
      <w:pPr>
        <w:pStyle w:val="a8"/>
        <w:numPr>
          <w:ilvl w:val="0"/>
          <w:numId w:val="1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5F77">
        <w:rPr>
          <w:rFonts w:ascii="Times New Roman" w:eastAsia="標楷體" w:hAnsi="Times New Roman" w:cs="Times New Roman"/>
          <w:sz w:val="28"/>
          <w:szCs w:val="28"/>
        </w:rPr>
        <w:lastRenderedPageBreak/>
        <w:t>推薦證券商應</w:t>
      </w:r>
      <w:r w:rsidR="004255D3" w:rsidRPr="00155F77">
        <w:rPr>
          <w:rFonts w:ascii="Times New Roman" w:eastAsia="標楷體" w:hAnsi="Times New Roman" w:cs="Times New Roman"/>
          <w:sz w:val="28"/>
          <w:szCs w:val="28"/>
        </w:rPr>
        <w:t>加強檢視</w:t>
      </w:r>
      <w:r w:rsidR="00AE3260" w:rsidRPr="00155F77">
        <w:rPr>
          <w:rFonts w:ascii="Times New Roman" w:eastAsia="標楷體" w:hAnsi="Times New Roman" w:cs="Times New Roman"/>
          <w:sz w:val="28"/>
          <w:szCs w:val="28"/>
        </w:rPr>
        <w:t>及查核</w:t>
      </w:r>
      <w:r w:rsidR="004255D3" w:rsidRPr="00155F77">
        <w:rPr>
          <w:rFonts w:ascii="Times New Roman" w:eastAsia="標楷體" w:hAnsi="Times New Roman" w:cs="Times New Roman"/>
          <w:sz w:val="28"/>
          <w:szCs w:val="28"/>
        </w:rPr>
        <w:t>下列事項：</w:t>
      </w:r>
    </w:p>
    <w:p w14:paraId="1FC48A97" w14:textId="3B258F7C" w:rsidR="004255D3" w:rsidRPr="000D7F57" w:rsidRDefault="000F786D" w:rsidP="000D7F57">
      <w:pPr>
        <w:pStyle w:val="a8"/>
        <w:numPr>
          <w:ilvl w:val="1"/>
          <w:numId w:val="11"/>
        </w:numPr>
        <w:spacing w:line="48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7F57">
        <w:rPr>
          <w:rFonts w:ascii="Times New Roman" w:eastAsia="標楷體" w:hAnsi="Times New Roman" w:cs="Times New Roman"/>
          <w:sz w:val="28"/>
          <w:szCs w:val="28"/>
        </w:rPr>
        <w:t>應確認公司產業、市場概況之揭露內容，是否係引述第三方具公信力之資料；如係公司自行推估，應特別敘明並揭露其認定產業、市場概況之依據。</w:t>
      </w:r>
    </w:p>
    <w:p w14:paraId="7FFEFFEC" w14:textId="1AC464A4" w:rsidR="000F786D" w:rsidRPr="000D7F57" w:rsidRDefault="000F786D" w:rsidP="000D7F57">
      <w:pPr>
        <w:pStyle w:val="a8"/>
        <w:numPr>
          <w:ilvl w:val="1"/>
          <w:numId w:val="11"/>
        </w:numPr>
        <w:spacing w:line="48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7F57">
        <w:rPr>
          <w:rFonts w:ascii="Times New Roman" w:eastAsia="標楷體" w:hAnsi="Times New Roman" w:cs="Times New Roman"/>
          <w:sz w:val="28"/>
          <w:szCs w:val="28"/>
        </w:rPr>
        <w:t>應確認公司揭露之臨床試驗數據是否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正確</w:t>
      </w:r>
      <w:r w:rsidRPr="000D7F57">
        <w:rPr>
          <w:rFonts w:ascii="Times New Roman" w:eastAsia="標楷體" w:hAnsi="Times New Roman" w:cs="Times New Roman"/>
          <w:sz w:val="28"/>
          <w:szCs w:val="28"/>
        </w:rPr>
        <w:t>、中立。</w:t>
      </w:r>
    </w:p>
    <w:p w14:paraId="3675C555" w14:textId="4D9F5B29" w:rsidR="00561A2F" w:rsidRPr="000D7F57" w:rsidRDefault="000F786D" w:rsidP="000D7F57">
      <w:pPr>
        <w:pStyle w:val="a8"/>
        <w:numPr>
          <w:ilvl w:val="1"/>
          <w:numId w:val="11"/>
        </w:numPr>
        <w:spacing w:line="48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7F57">
        <w:rPr>
          <w:rFonts w:ascii="Times New Roman" w:eastAsia="標楷體" w:hAnsi="Times New Roman" w:cs="Times New Roman"/>
          <w:sz w:val="28"/>
          <w:szCs w:val="28"/>
        </w:rPr>
        <w:t>應檢視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公司與委外單位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(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如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CRO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、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CMO)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之契約、或申請公司與委外單位、資料及安全監測</w:t>
      </w:r>
      <w:proofErr w:type="gramStart"/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委員會或藥事</w:t>
      </w:r>
      <w:proofErr w:type="gramEnd"/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主管機關之重要溝通內容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(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包括但不限於會議紀錄、電子郵件或書面函文等</w:t>
      </w:r>
      <w:r w:rsidR="003050E0" w:rsidRPr="000D7F57">
        <w:rPr>
          <w:rFonts w:ascii="Times New Roman" w:eastAsia="標楷體" w:hAnsi="Times New Roman" w:cs="Times New Roman"/>
          <w:sz w:val="28"/>
          <w:szCs w:val="28"/>
        </w:rPr>
        <w:t>)</w:t>
      </w:r>
      <w:r w:rsidR="00955760" w:rsidRPr="000D7F5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46DBF6F" w14:textId="30C82A55" w:rsidR="00561A2F" w:rsidRPr="000D7F57" w:rsidRDefault="00955760" w:rsidP="000D7F57">
      <w:pPr>
        <w:pStyle w:val="a8"/>
        <w:numPr>
          <w:ilvl w:val="1"/>
          <w:numId w:val="11"/>
        </w:numPr>
        <w:spacing w:line="480" w:lineRule="exact"/>
        <w:ind w:leftChars="0"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D7F57">
        <w:rPr>
          <w:rFonts w:ascii="Times New Roman" w:eastAsia="標楷體" w:hAnsi="Times New Roman" w:cs="Times New Roman"/>
          <w:sz w:val="28"/>
          <w:szCs w:val="28"/>
        </w:rPr>
        <w:t>應評估申請公司營運資金</w:t>
      </w:r>
      <w:r w:rsidRPr="000D7F57">
        <w:rPr>
          <w:rFonts w:ascii="Times New Roman" w:eastAsia="標楷體" w:hAnsi="Times New Roman" w:cs="Times New Roman"/>
          <w:sz w:val="28"/>
          <w:szCs w:val="28"/>
        </w:rPr>
        <w:t>(</w:t>
      </w:r>
      <w:r w:rsidRPr="000D7F57">
        <w:rPr>
          <w:rFonts w:ascii="Times New Roman" w:eastAsia="標楷體" w:hAnsi="Times New Roman" w:cs="Times New Roman"/>
          <w:sz w:val="28"/>
          <w:szCs w:val="28"/>
        </w:rPr>
        <w:t>含</w:t>
      </w:r>
      <w:r w:rsidRPr="000D7F57">
        <w:rPr>
          <w:rFonts w:ascii="Times New Roman" w:eastAsia="標楷體" w:hAnsi="Times New Roman" w:cs="Times New Roman"/>
          <w:sz w:val="28"/>
          <w:szCs w:val="28"/>
        </w:rPr>
        <w:t>IPO</w:t>
      </w:r>
      <w:r w:rsidRPr="000D7F57">
        <w:rPr>
          <w:rFonts w:ascii="Times New Roman" w:eastAsia="標楷體" w:hAnsi="Times New Roman" w:cs="Times New Roman"/>
          <w:sz w:val="28"/>
          <w:szCs w:val="28"/>
        </w:rPr>
        <w:t>募資金額</w:t>
      </w:r>
      <w:r w:rsidRPr="000D7F57">
        <w:rPr>
          <w:rFonts w:ascii="Times New Roman" w:eastAsia="標楷體" w:hAnsi="Times New Roman" w:cs="Times New Roman"/>
          <w:sz w:val="28"/>
          <w:szCs w:val="28"/>
        </w:rPr>
        <w:t>)</w:t>
      </w:r>
      <w:r w:rsidR="004A2216" w:rsidRPr="000D7F57">
        <w:rPr>
          <w:rFonts w:ascii="Times New Roman" w:eastAsia="標楷體" w:hAnsi="Times New Roman" w:cs="Times New Roman"/>
          <w:sz w:val="28"/>
          <w:szCs w:val="28"/>
        </w:rPr>
        <w:t>之充足性，可用以支應之</w:t>
      </w:r>
      <w:r w:rsidRPr="000D7F57">
        <w:rPr>
          <w:rFonts w:ascii="Times New Roman" w:eastAsia="標楷體" w:hAnsi="Times New Roman" w:cs="Times New Roman"/>
          <w:sz w:val="28"/>
          <w:szCs w:val="28"/>
        </w:rPr>
        <w:t>研發時程</w:t>
      </w:r>
      <w:r w:rsidR="004A2216" w:rsidRPr="000D7F57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561A2F" w:rsidRPr="000D7F57" w:rsidSect="00155F7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D624" w14:textId="77777777" w:rsidR="00870261" w:rsidRDefault="00870261" w:rsidP="00561A2F">
      <w:r>
        <w:separator/>
      </w:r>
    </w:p>
  </w:endnote>
  <w:endnote w:type="continuationSeparator" w:id="0">
    <w:p w14:paraId="7BDDC09B" w14:textId="77777777" w:rsidR="00870261" w:rsidRDefault="00870261" w:rsidP="0056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6462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703314" w14:textId="5C4A7335" w:rsidR="000F786D" w:rsidRPr="00155F77" w:rsidRDefault="000F786D" w:rsidP="000F786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5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5F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5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55F77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155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5D02" w14:textId="77777777" w:rsidR="00870261" w:rsidRDefault="00870261" w:rsidP="00561A2F">
      <w:r>
        <w:separator/>
      </w:r>
    </w:p>
  </w:footnote>
  <w:footnote w:type="continuationSeparator" w:id="0">
    <w:p w14:paraId="0DF646B5" w14:textId="77777777" w:rsidR="00870261" w:rsidRDefault="00870261" w:rsidP="0056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20F"/>
    <w:multiLevelType w:val="hybridMultilevel"/>
    <w:tmpl w:val="C10C9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A016CD"/>
    <w:multiLevelType w:val="hybridMultilevel"/>
    <w:tmpl w:val="33024E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969E0"/>
    <w:multiLevelType w:val="hybridMultilevel"/>
    <w:tmpl w:val="0B7E54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6939CD"/>
    <w:multiLevelType w:val="hybridMultilevel"/>
    <w:tmpl w:val="F6E8E5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E1C96"/>
    <w:multiLevelType w:val="hybridMultilevel"/>
    <w:tmpl w:val="B4B2826A"/>
    <w:lvl w:ilvl="0" w:tplc="9B8A9C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B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885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47D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EE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61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068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AA7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E2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2B3"/>
    <w:multiLevelType w:val="hybridMultilevel"/>
    <w:tmpl w:val="7C8A2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23136"/>
    <w:multiLevelType w:val="hybridMultilevel"/>
    <w:tmpl w:val="C10C9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2850B8"/>
    <w:multiLevelType w:val="hybridMultilevel"/>
    <w:tmpl w:val="F5A69EDE"/>
    <w:lvl w:ilvl="0" w:tplc="3FECB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AB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080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ECE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A84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C94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6BF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035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62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FE7"/>
    <w:multiLevelType w:val="hybridMultilevel"/>
    <w:tmpl w:val="8B605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5A487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60FE6"/>
    <w:multiLevelType w:val="hybridMultilevel"/>
    <w:tmpl w:val="8B605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5A487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5062A7"/>
    <w:multiLevelType w:val="hybridMultilevel"/>
    <w:tmpl w:val="215A059E"/>
    <w:lvl w:ilvl="0" w:tplc="0C2425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4"/>
      </w:rPr>
    </w:lvl>
    <w:lvl w:ilvl="1" w:tplc="EC8A234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B1529C"/>
    <w:multiLevelType w:val="hybridMultilevel"/>
    <w:tmpl w:val="BE787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02621E"/>
    <w:multiLevelType w:val="hybridMultilevel"/>
    <w:tmpl w:val="C10C9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4B5B43"/>
    <w:multiLevelType w:val="hybridMultilevel"/>
    <w:tmpl w:val="BE787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E54BDD"/>
    <w:multiLevelType w:val="hybridMultilevel"/>
    <w:tmpl w:val="BE787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FE3053"/>
    <w:multiLevelType w:val="hybridMultilevel"/>
    <w:tmpl w:val="564C0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3E"/>
    <w:rsid w:val="0009348A"/>
    <w:rsid w:val="000D2749"/>
    <w:rsid w:val="000D2EA3"/>
    <w:rsid w:val="000D4063"/>
    <w:rsid w:val="000D7F57"/>
    <w:rsid w:val="000F786D"/>
    <w:rsid w:val="00155F77"/>
    <w:rsid w:val="00163442"/>
    <w:rsid w:val="00167CB3"/>
    <w:rsid w:val="001A4A3E"/>
    <w:rsid w:val="001A7FE7"/>
    <w:rsid w:val="001C26F1"/>
    <w:rsid w:val="001E27BB"/>
    <w:rsid w:val="002A4DD8"/>
    <w:rsid w:val="002A71AE"/>
    <w:rsid w:val="002C281B"/>
    <w:rsid w:val="002F54F5"/>
    <w:rsid w:val="003050E0"/>
    <w:rsid w:val="00336FA4"/>
    <w:rsid w:val="003416A5"/>
    <w:rsid w:val="003D1DBB"/>
    <w:rsid w:val="003F58F1"/>
    <w:rsid w:val="00410C71"/>
    <w:rsid w:val="004255D3"/>
    <w:rsid w:val="00440178"/>
    <w:rsid w:val="004421A2"/>
    <w:rsid w:val="00466854"/>
    <w:rsid w:val="00472DEC"/>
    <w:rsid w:val="004A2216"/>
    <w:rsid w:val="00521F03"/>
    <w:rsid w:val="00561A2F"/>
    <w:rsid w:val="00574BD6"/>
    <w:rsid w:val="00613FFD"/>
    <w:rsid w:val="00677EC3"/>
    <w:rsid w:val="00686C4D"/>
    <w:rsid w:val="006929BB"/>
    <w:rsid w:val="0069513B"/>
    <w:rsid w:val="007547C1"/>
    <w:rsid w:val="007674C4"/>
    <w:rsid w:val="007759A5"/>
    <w:rsid w:val="007B6F09"/>
    <w:rsid w:val="00870261"/>
    <w:rsid w:val="00874C6B"/>
    <w:rsid w:val="00916D86"/>
    <w:rsid w:val="00955760"/>
    <w:rsid w:val="00963FED"/>
    <w:rsid w:val="00A0250B"/>
    <w:rsid w:val="00A0340E"/>
    <w:rsid w:val="00A1060E"/>
    <w:rsid w:val="00A30D49"/>
    <w:rsid w:val="00A40D26"/>
    <w:rsid w:val="00A7076A"/>
    <w:rsid w:val="00AC44FE"/>
    <w:rsid w:val="00AD2A81"/>
    <w:rsid w:val="00AE3260"/>
    <w:rsid w:val="00C02E22"/>
    <w:rsid w:val="00C240E1"/>
    <w:rsid w:val="00C266E1"/>
    <w:rsid w:val="00C5786E"/>
    <w:rsid w:val="00C648A2"/>
    <w:rsid w:val="00C73391"/>
    <w:rsid w:val="00CC094F"/>
    <w:rsid w:val="00D17225"/>
    <w:rsid w:val="00D348B9"/>
    <w:rsid w:val="00D57609"/>
    <w:rsid w:val="00D66A0C"/>
    <w:rsid w:val="00D75712"/>
    <w:rsid w:val="00E03971"/>
    <w:rsid w:val="00EA16EC"/>
    <w:rsid w:val="00EA2A5F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5A879"/>
  <w15:chartTrackingRefBased/>
  <w15:docId w15:val="{9EC63642-B637-4152-8DED-1B749A50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1A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A2F"/>
    <w:rPr>
      <w:sz w:val="20"/>
      <w:szCs w:val="20"/>
    </w:rPr>
  </w:style>
  <w:style w:type="table" w:styleId="a7">
    <w:name w:val="Table Grid"/>
    <w:basedOn w:val="a1"/>
    <w:uiPriority w:val="39"/>
    <w:rsid w:val="007B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6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9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9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6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9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8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劉宏亮</dc:creator>
  <cp:keywords/>
  <dc:description/>
  <cp:lastModifiedBy>劉宏亮</cp:lastModifiedBy>
  <cp:revision>38</cp:revision>
  <dcterms:created xsi:type="dcterms:W3CDTF">2020-03-04T03:25:00Z</dcterms:created>
  <dcterms:modified xsi:type="dcterms:W3CDTF">2020-05-21T06:12:00Z</dcterms:modified>
</cp:coreProperties>
</file>