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DD" w:rsidRDefault="00091CE4" w:rsidP="00154346">
      <w:pPr>
        <w:pStyle w:val="31"/>
        <w:adjustRightInd w:val="0"/>
        <w:snapToGrid w:val="0"/>
        <w:rPr>
          <w:rFonts w:ascii="標楷體" w:hAnsi="標楷體"/>
          <w:b/>
          <w:bCs/>
          <w:sz w:val="36"/>
        </w:rPr>
      </w:pPr>
      <w:r w:rsidRPr="00E449D9">
        <w:rPr>
          <w:rFonts w:ascii="標楷體" w:hAnsi="標楷體" w:hint="eastAsia"/>
          <w:b/>
          <w:bCs/>
          <w:sz w:val="36"/>
        </w:rPr>
        <w:t>「</w:t>
      </w:r>
      <w:r w:rsidR="007D5084" w:rsidRPr="00E449D9">
        <w:rPr>
          <w:rFonts w:ascii="標楷體" w:hAnsi="標楷體" w:hint="eastAsia"/>
          <w:b/>
          <w:bCs/>
          <w:sz w:val="36"/>
        </w:rPr>
        <w:t>財團法人中華民國證券櫃檯買賣中心</w:t>
      </w:r>
      <w:r w:rsidR="00740875" w:rsidRPr="00E449D9">
        <w:rPr>
          <w:rFonts w:ascii="標楷體" w:hAnsi="標楷體" w:hint="eastAsia"/>
          <w:b/>
          <w:bCs/>
          <w:sz w:val="36"/>
        </w:rPr>
        <w:t>期貨</w:t>
      </w:r>
      <w:r w:rsidR="00740875" w:rsidRPr="00E449D9">
        <w:rPr>
          <w:rFonts w:ascii="標楷體" w:hAnsi="標楷體"/>
          <w:b/>
          <w:bCs/>
          <w:sz w:val="36"/>
        </w:rPr>
        <w:t>商</w:t>
      </w:r>
      <w:r w:rsidR="00B70C31">
        <w:rPr>
          <w:rFonts w:ascii="標楷體" w:hAnsi="標楷體"/>
          <w:b/>
          <w:bCs/>
          <w:sz w:val="36"/>
        </w:rPr>
        <w:t>受託買賣執行</w:t>
      </w:r>
      <w:r w:rsidR="00B76321" w:rsidRPr="00E449D9">
        <w:rPr>
          <w:rFonts w:ascii="標楷體" w:hAnsi="標楷體" w:hint="eastAsia"/>
          <w:b/>
          <w:bCs/>
          <w:sz w:val="36"/>
        </w:rPr>
        <w:t>業務員</w:t>
      </w:r>
      <w:r w:rsidR="0023327F" w:rsidRPr="00E449D9">
        <w:rPr>
          <w:rFonts w:ascii="標楷體" w:hAnsi="標楷體" w:hint="eastAsia"/>
          <w:b/>
          <w:bCs/>
          <w:sz w:val="36"/>
        </w:rPr>
        <w:t>轉</w:t>
      </w:r>
      <w:proofErr w:type="gramStart"/>
      <w:r w:rsidR="0023327F" w:rsidRPr="00E449D9">
        <w:rPr>
          <w:rFonts w:ascii="標楷體" w:hAnsi="標楷體" w:hint="eastAsia"/>
          <w:b/>
          <w:bCs/>
          <w:sz w:val="36"/>
        </w:rPr>
        <w:t>介</w:t>
      </w:r>
      <w:proofErr w:type="gramEnd"/>
      <w:r w:rsidR="00B76321" w:rsidRPr="00E449D9">
        <w:rPr>
          <w:rFonts w:ascii="標楷體" w:hAnsi="標楷體" w:hint="eastAsia"/>
          <w:b/>
          <w:bCs/>
          <w:sz w:val="36"/>
        </w:rPr>
        <w:t>槓桿保證金契約業務規範</w:t>
      </w:r>
      <w:r w:rsidRPr="00E449D9">
        <w:rPr>
          <w:rFonts w:ascii="標楷體" w:hAnsi="標楷體" w:hint="eastAsia"/>
          <w:b/>
          <w:bCs/>
          <w:sz w:val="36"/>
        </w:rPr>
        <w:t>」</w:t>
      </w:r>
    </w:p>
    <w:p w:rsidR="00A11BD6" w:rsidRDefault="00A11BD6" w:rsidP="00C30898">
      <w:pPr>
        <w:pStyle w:val="31"/>
        <w:adjustRightInd w:val="0"/>
        <w:snapToGrid w:val="0"/>
        <w:jc w:val="right"/>
        <w:rPr>
          <w:bCs/>
          <w:sz w:val="22"/>
          <w:szCs w:val="22"/>
        </w:rPr>
      </w:pPr>
    </w:p>
    <w:p w:rsidR="00055304" w:rsidRPr="00940401" w:rsidRDefault="00A75C1D" w:rsidP="00C30898">
      <w:pPr>
        <w:pStyle w:val="31"/>
        <w:adjustRightInd w:val="0"/>
        <w:snapToGrid w:val="0"/>
        <w:jc w:val="right"/>
        <w:rPr>
          <w:bCs/>
          <w:sz w:val="22"/>
          <w:szCs w:val="22"/>
        </w:rPr>
      </w:pPr>
      <w:r w:rsidRPr="00A75C1D">
        <w:rPr>
          <w:rFonts w:hint="eastAsia"/>
          <w:bCs/>
          <w:sz w:val="22"/>
          <w:szCs w:val="22"/>
        </w:rPr>
        <w:t>金融監督管理委員會</w:t>
      </w:r>
      <w:r w:rsidRPr="00A75C1D">
        <w:rPr>
          <w:rFonts w:hint="eastAsia"/>
          <w:bCs/>
          <w:sz w:val="22"/>
          <w:szCs w:val="22"/>
        </w:rPr>
        <w:t>106</w:t>
      </w:r>
      <w:r w:rsidRPr="00A75C1D">
        <w:rPr>
          <w:rFonts w:hint="eastAsia"/>
          <w:bCs/>
          <w:sz w:val="22"/>
          <w:szCs w:val="22"/>
        </w:rPr>
        <w:t>年</w:t>
      </w:r>
      <w:r w:rsidRPr="00A75C1D">
        <w:rPr>
          <w:rFonts w:hint="eastAsia"/>
          <w:bCs/>
          <w:sz w:val="22"/>
          <w:szCs w:val="22"/>
        </w:rPr>
        <w:t>6</w:t>
      </w:r>
      <w:r w:rsidRPr="00A75C1D">
        <w:rPr>
          <w:rFonts w:hint="eastAsia"/>
          <w:bCs/>
          <w:sz w:val="22"/>
          <w:szCs w:val="22"/>
        </w:rPr>
        <w:t>月</w:t>
      </w:r>
      <w:r w:rsidRPr="00A75C1D">
        <w:rPr>
          <w:rFonts w:hint="eastAsia"/>
          <w:bCs/>
          <w:sz w:val="22"/>
          <w:szCs w:val="22"/>
        </w:rPr>
        <w:t>13</w:t>
      </w:r>
      <w:r w:rsidRPr="00A75C1D">
        <w:rPr>
          <w:rFonts w:hint="eastAsia"/>
          <w:bCs/>
          <w:sz w:val="22"/>
          <w:szCs w:val="22"/>
        </w:rPr>
        <w:t>日金</w:t>
      </w:r>
      <w:proofErr w:type="gramStart"/>
      <w:r w:rsidRPr="00A75C1D">
        <w:rPr>
          <w:rFonts w:hint="eastAsia"/>
          <w:bCs/>
          <w:sz w:val="22"/>
          <w:szCs w:val="22"/>
        </w:rPr>
        <w:t>管證期字</w:t>
      </w:r>
      <w:proofErr w:type="gramEnd"/>
      <w:r w:rsidRPr="00A75C1D">
        <w:rPr>
          <w:rFonts w:hint="eastAsia"/>
          <w:bCs/>
          <w:sz w:val="22"/>
          <w:szCs w:val="22"/>
        </w:rPr>
        <w:t>第</w:t>
      </w:r>
      <w:r w:rsidRPr="00A75C1D">
        <w:rPr>
          <w:rFonts w:hint="eastAsia"/>
          <w:bCs/>
          <w:sz w:val="22"/>
          <w:szCs w:val="22"/>
        </w:rPr>
        <w:t>1060017307</w:t>
      </w:r>
      <w:r w:rsidRPr="00A75C1D">
        <w:rPr>
          <w:rFonts w:hint="eastAsia"/>
          <w:bCs/>
          <w:sz w:val="22"/>
          <w:szCs w:val="22"/>
        </w:rPr>
        <w:t>號函准予備查</w:t>
      </w:r>
    </w:p>
    <w:tbl>
      <w:tblPr>
        <w:tblW w:w="9634" w:type="dxa"/>
        <w:tblCellMar>
          <w:left w:w="28" w:type="dxa"/>
          <w:right w:w="28" w:type="dxa"/>
        </w:tblCellMar>
        <w:tblLook w:val="0000" w:firstRow="0" w:lastRow="0" w:firstColumn="0" w:lastColumn="0" w:noHBand="0" w:noVBand="0"/>
      </w:tblPr>
      <w:tblGrid>
        <w:gridCol w:w="9634"/>
      </w:tblGrid>
      <w:tr w:rsidR="00A11BD6" w:rsidRPr="00A11BD6" w:rsidTr="00A11BD6">
        <w:trPr>
          <w:trHeight w:val="535"/>
        </w:trPr>
        <w:tc>
          <w:tcPr>
            <w:tcW w:w="9634" w:type="dxa"/>
          </w:tcPr>
          <w:p w:rsidR="00A11BD6" w:rsidRDefault="00A11BD6" w:rsidP="001E161F">
            <w:pPr>
              <w:adjustRightInd w:val="0"/>
              <w:snapToGrid w:val="0"/>
              <w:spacing w:line="300" w:lineRule="auto"/>
              <w:jc w:val="both"/>
              <w:rPr>
                <w:rFonts w:ascii="標楷體" w:eastAsia="標楷體" w:hAnsi="標楷體"/>
                <w:snapToGrid w:val="0"/>
                <w:kern w:val="0"/>
              </w:rPr>
            </w:pPr>
          </w:p>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第一條</w:t>
            </w:r>
          </w:p>
          <w:p w:rsidR="00A11BD6" w:rsidRDefault="00A11BD6" w:rsidP="00765D4B">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本規範依據本中心「槓桿交易商經營槓桿保證金契約交易業務規則」（下稱「業務規則」）第五十五條規定訂定。</w:t>
            </w:r>
          </w:p>
          <w:p w:rsidR="00A11BD6" w:rsidRPr="00035909" w:rsidRDefault="00A11BD6" w:rsidP="00765D4B">
            <w:pPr>
              <w:adjustRightInd w:val="0"/>
              <w:snapToGrid w:val="0"/>
              <w:spacing w:line="300" w:lineRule="auto"/>
              <w:ind w:firstLineChars="200" w:firstLine="48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第二條</w:t>
            </w:r>
          </w:p>
          <w:p w:rsidR="00A11BD6" w:rsidRDefault="00A11BD6" w:rsidP="00A16F95">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期貨商登記受託買賣執行之業務員轉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槓桿保證金契約，除法令或本中心相關規定另有規定外，應依本規範之規定辦理。</w:t>
            </w:r>
          </w:p>
          <w:p w:rsidR="00A11BD6" w:rsidRPr="00A11BD6" w:rsidRDefault="00A11BD6" w:rsidP="00A16F95">
            <w:pPr>
              <w:adjustRightInd w:val="0"/>
              <w:snapToGrid w:val="0"/>
              <w:spacing w:line="300" w:lineRule="auto"/>
              <w:ind w:firstLineChars="200" w:firstLine="48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第三條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期貨商登記受託買賣執行之業務員，於符合業務規則第四十四條之資格條件，並辦理業務人員登記為「受託買賣執行（轉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槓桿保證金契約）」後，得轉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客戶從事槓桿保證金契約交易（下稱「轉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w:t>
            </w:r>
          </w:p>
          <w:p w:rsidR="00A75C1D" w:rsidRPr="00A75C1D" w:rsidRDefault="00A75C1D" w:rsidP="00A75C1D">
            <w:pPr>
              <w:adjustRightInd w:val="0"/>
              <w:snapToGrid w:val="0"/>
              <w:spacing w:line="300" w:lineRule="auto"/>
              <w:ind w:firstLineChars="200" w:firstLine="480"/>
              <w:jc w:val="both"/>
              <w:rPr>
                <w:rFonts w:ascii="標楷體" w:eastAsia="標楷體" w:hAnsi="標楷體" w:hint="eastAsia"/>
                <w:snapToGrid w:val="0"/>
                <w:kern w:val="0"/>
              </w:rPr>
            </w:pPr>
            <w:r w:rsidRPr="00A75C1D">
              <w:rPr>
                <w:rFonts w:ascii="標楷體" w:eastAsia="標楷體" w:hAnsi="標楷體" w:hint="eastAsia"/>
                <w:snapToGrid w:val="0"/>
                <w:kern w:val="0"/>
              </w:rPr>
              <w:t>前項槓桿保證金契約不得為複雜性高風險商品，且以下列為限：</w:t>
            </w:r>
          </w:p>
          <w:p w:rsidR="00A75C1D" w:rsidRPr="00A75C1D" w:rsidRDefault="00A75C1D" w:rsidP="00A75C1D">
            <w:pPr>
              <w:adjustRightInd w:val="0"/>
              <w:snapToGrid w:val="0"/>
              <w:spacing w:line="300" w:lineRule="auto"/>
              <w:jc w:val="both"/>
              <w:rPr>
                <w:rFonts w:ascii="標楷體" w:eastAsia="標楷體" w:hAnsi="標楷體" w:hint="eastAsia"/>
                <w:snapToGrid w:val="0"/>
                <w:kern w:val="0"/>
              </w:rPr>
            </w:pPr>
            <w:r w:rsidRPr="00A75C1D">
              <w:rPr>
                <w:rFonts w:ascii="標楷體" w:eastAsia="標楷體" w:hAnsi="標楷體" w:hint="eastAsia"/>
                <w:snapToGrid w:val="0"/>
                <w:kern w:val="0"/>
              </w:rPr>
              <w:t>一、結構型商品。</w:t>
            </w:r>
          </w:p>
          <w:p w:rsidR="00A75C1D" w:rsidRPr="00A75C1D" w:rsidRDefault="00A75C1D" w:rsidP="00A75C1D">
            <w:pPr>
              <w:adjustRightInd w:val="0"/>
              <w:snapToGrid w:val="0"/>
              <w:spacing w:line="300" w:lineRule="auto"/>
              <w:jc w:val="both"/>
              <w:rPr>
                <w:rFonts w:ascii="標楷體" w:eastAsia="標楷體" w:hAnsi="標楷體" w:hint="eastAsia"/>
                <w:snapToGrid w:val="0"/>
                <w:kern w:val="0"/>
              </w:rPr>
            </w:pPr>
            <w:r w:rsidRPr="00A75C1D">
              <w:rPr>
                <w:rFonts w:ascii="標楷體" w:eastAsia="標楷體" w:hAnsi="標楷體" w:hint="eastAsia"/>
                <w:snapToGrid w:val="0"/>
                <w:kern w:val="0"/>
              </w:rPr>
              <w:t>二、</w:t>
            </w:r>
            <w:proofErr w:type="gramStart"/>
            <w:r w:rsidRPr="00A75C1D">
              <w:rPr>
                <w:rFonts w:ascii="標楷體" w:eastAsia="標楷體" w:hAnsi="標楷體" w:hint="eastAsia"/>
                <w:snapToGrid w:val="0"/>
                <w:kern w:val="0"/>
              </w:rPr>
              <w:t>臺</w:t>
            </w:r>
            <w:proofErr w:type="gramEnd"/>
            <w:r w:rsidRPr="00A75C1D">
              <w:rPr>
                <w:rFonts w:ascii="標楷體" w:eastAsia="標楷體" w:hAnsi="標楷體" w:hint="eastAsia"/>
                <w:snapToGrid w:val="0"/>
                <w:kern w:val="0"/>
              </w:rPr>
              <w:t>股股權相關之股權衍生性商品。</w:t>
            </w:r>
          </w:p>
          <w:p w:rsidR="00A11BD6" w:rsidRDefault="00A75C1D" w:rsidP="00A75C1D">
            <w:pPr>
              <w:adjustRightInd w:val="0"/>
              <w:snapToGrid w:val="0"/>
              <w:spacing w:line="300" w:lineRule="auto"/>
              <w:jc w:val="both"/>
              <w:rPr>
                <w:rFonts w:ascii="標楷體" w:eastAsia="標楷體" w:hAnsi="標楷體"/>
                <w:snapToGrid w:val="0"/>
                <w:kern w:val="0"/>
              </w:rPr>
            </w:pPr>
            <w:r w:rsidRPr="00A75C1D">
              <w:rPr>
                <w:rFonts w:ascii="標楷體" w:eastAsia="標楷體" w:hAnsi="標楷體" w:hint="eastAsia"/>
                <w:snapToGrid w:val="0"/>
                <w:kern w:val="0"/>
              </w:rPr>
              <w:t>三、</w:t>
            </w:r>
            <w:proofErr w:type="gramStart"/>
            <w:r w:rsidRPr="00A75C1D">
              <w:rPr>
                <w:rFonts w:ascii="標楷體" w:eastAsia="標楷體" w:hAnsi="標楷體" w:hint="eastAsia"/>
                <w:snapToGrid w:val="0"/>
                <w:kern w:val="0"/>
              </w:rPr>
              <w:t>臺</w:t>
            </w:r>
            <w:proofErr w:type="gramEnd"/>
            <w:r w:rsidRPr="00A75C1D">
              <w:rPr>
                <w:rFonts w:ascii="標楷體" w:eastAsia="標楷體" w:hAnsi="標楷體" w:hint="eastAsia"/>
                <w:snapToGrid w:val="0"/>
                <w:kern w:val="0"/>
              </w:rPr>
              <w:t>股股權相</w:t>
            </w:r>
            <w:bookmarkStart w:id="0" w:name="_GoBack"/>
            <w:bookmarkEnd w:id="0"/>
            <w:r w:rsidRPr="00A75C1D">
              <w:rPr>
                <w:rFonts w:ascii="標楷體" w:eastAsia="標楷體" w:hAnsi="標楷體" w:hint="eastAsia"/>
                <w:snapToGrid w:val="0"/>
                <w:kern w:val="0"/>
              </w:rPr>
              <w:t>關之轉（交）換公司債資產交換。</w:t>
            </w:r>
          </w:p>
          <w:p w:rsidR="00A11BD6" w:rsidRPr="00A11BD6" w:rsidRDefault="00A11BD6" w:rsidP="001F41EC">
            <w:pPr>
              <w:adjustRightInd w:val="0"/>
              <w:snapToGrid w:val="0"/>
              <w:spacing w:line="300" w:lineRule="auto"/>
              <w:ind w:firstLineChars="200" w:firstLine="48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第四條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槓桿保證金契約之業務執行範圍以下列為限：</w:t>
            </w:r>
          </w:p>
          <w:p w:rsidR="00A11BD6" w:rsidRPr="00A11BD6" w:rsidRDefault="00A11BD6" w:rsidP="002117D6">
            <w:pPr>
              <w:pStyle w:val="ae"/>
              <w:numPr>
                <w:ilvl w:val="0"/>
                <w:numId w:val="5"/>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向客戶解說：包括商品特性、商品條件、商品風險、契約內容、申購作業等相關內容之說明。</w:t>
            </w:r>
            <w:r w:rsidRPr="00A11BD6">
              <w:rPr>
                <w:rFonts w:ascii="標楷體" w:eastAsia="標楷體" w:hAnsi="標楷體"/>
                <w:snapToGrid w:val="0"/>
                <w:kern w:val="0"/>
              </w:rPr>
              <w:t xml:space="preserve"> </w:t>
            </w:r>
          </w:p>
          <w:p w:rsidR="00A11BD6" w:rsidRPr="00A11BD6" w:rsidRDefault="00A11BD6" w:rsidP="003B0963">
            <w:pPr>
              <w:pStyle w:val="ae"/>
              <w:numPr>
                <w:ilvl w:val="0"/>
                <w:numId w:val="5"/>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代</w:t>
            </w:r>
            <w:proofErr w:type="gramStart"/>
            <w:r w:rsidRPr="00A11BD6">
              <w:rPr>
                <w:rFonts w:ascii="標楷體" w:eastAsia="標楷體" w:hAnsi="標楷體" w:hint="eastAsia"/>
                <w:snapToGrid w:val="0"/>
                <w:kern w:val="0"/>
              </w:rPr>
              <w:t>收付件</w:t>
            </w:r>
            <w:proofErr w:type="gramEnd"/>
            <w:r w:rsidRPr="00A11BD6">
              <w:rPr>
                <w:rFonts w:ascii="標楷體" w:eastAsia="標楷體" w:hAnsi="標楷體" w:hint="eastAsia"/>
                <w:snapToGrid w:val="0"/>
                <w:kern w:val="0"/>
              </w:rPr>
              <w:t>：包括通知相關交易結果、收付客戶契約文件、收取客戶申購單、提前解約或買（贖）回申請等相關作業。</w:t>
            </w:r>
          </w:p>
          <w:p w:rsidR="00A11BD6" w:rsidRPr="00A11BD6" w:rsidRDefault="00A11BD6" w:rsidP="003B0963">
            <w:pPr>
              <w:pStyle w:val="ae"/>
              <w:numPr>
                <w:ilvl w:val="0"/>
                <w:numId w:val="5"/>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辦理瞭解客戶評估作業相關事宜：包括協助客戶填寫瞭解客戶評估作業程序之各項表單、協助客戶在相關表單上簽名確認其屬性，以及取得客戶之年齡、知識、投資經驗、財產狀況、交易目的、商品理解或風險承受度等資訊。</w:t>
            </w:r>
          </w:p>
          <w:p w:rsidR="00A11BD6" w:rsidRDefault="00A11BD6" w:rsidP="003B0963">
            <w:pPr>
              <w:pStyle w:val="ae"/>
              <w:numPr>
                <w:ilvl w:val="0"/>
                <w:numId w:val="5"/>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辦理行銷過程控制相關事宜：包括確認客戶並未</w:t>
            </w:r>
            <w:proofErr w:type="gramStart"/>
            <w:r w:rsidRPr="00A11BD6">
              <w:rPr>
                <w:rFonts w:ascii="標楷體" w:eastAsia="標楷體" w:hAnsi="標楷體" w:hint="eastAsia"/>
                <w:snapToGrid w:val="0"/>
                <w:kern w:val="0"/>
              </w:rPr>
              <w:t>承作</w:t>
            </w:r>
            <w:proofErr w:type="gramEnd"/>
            <w:r w:rsidRPr="00A11BD6">
              <w:rPr>
                <w:rFonts w:ascii="標楷體" w:eastAsia="標楷體" w:hAnsi="標楷體" w:hint="eastAsia"/>
                <w:snapToGrid w:val="0"/>
                <w:kern w:val="0"/>
              </w:rPr>
              <w:t>超過其適合等級之商品、辦理業務規則第二十三條第一項第三款及第四款規定之相關作業。</w:t>
            </w:r>
          </w:p>
          <w:p w:rsidR="00A11BD6" w:rsidRPr="00A11BD6" w:rsidRDefault="00A11BD6" w:rsidP="00A11BD6">
            <w:pPr>
              <w:pStyle w:val="ae"/>
              <w:adjustRightInd w:val="0"/>
              <w:snapToGrid w:val="0"/>
              <w:spacing w:line="300" w:lineRule="auto"/>
              <w:ind w:leftChars="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lastRenderedPageBreak/>
              <w:t>第五條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槓桿保證金契約不得有下列行為：</w:t>
            </w:r>
          </w:p>
          <w:p w:rsidR="00A11BD6" w:rsidRPr="00A11BD6" w:rsidRDefault="00A11BD6" w:rsidP="003B0963">
            <w:pPr>
              <w:pStyle w:val="ae"/>
              <w:numPr>
                <w:ilvl w:val="0"/>
                <w:numId w:val="1"/>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與客戶約定分享利益或承擔損失，直接或間接要求、期約或收受不當之金錢、財物或其他利益。</w:t>
            </w:r>
          </w:p>
          <w:p w:rsidR="00A11BD6" w:rsidRPr="00A11BD6" w:rsidRDefault="00A11BD6" w:rsidP="003B0963">
            <w:pPr>
              <w:pStyle w:val="ae"/>
              <w:numPr>
                <w:ilvl w:val="0"/>
                <w:numId w:val="1"/>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擅自修改或製作相關標準文件交付予客戶。</w:t>
            </w:r>
          </w:p>
          <w:p w:rsidR="00A11BD6" w:rsidRPr="00A11BD6" w:rsidRDefault="00A11BD6" w:rsidP="003B0963">
            <w:pPr>
              <w:pStyle w:val="ae"/>
              <w:numPr>
                <w:ilvl w:val="0"/>
                <w:numId w:val="1"/>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擅自為客戶進行交易，或私自挪用客戶款項。</w:t>
            </w:r>
          </w:p>
          <w:p w:rsidR="00A11BD6" w:rsidRPr="00A11BD6" w:rsidRDefault="00A11BD6" w:rsidP="003B0963">
            <w:pPr>
              <w:pStyle w:val="ae"/>
              <w:numPr>
                <w:ilvl w:val="0"/>
                <w:numId w:val="1"/>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引用之資訊有不實、虛偽、隱匿、誇大致客戶誤信之情事。</w:t>
            </w:r>
          </w:p>
          <w:p w:rsidR="00A11BD6" w:rsidRPr="00A11BD6" w:rsidRDefault="00A11BD6" w:rsidP="003B0963">
            <w:pPr>
              <w:pStyle w:val="ae"/>
              <w:numPr>
                <w:ilvl w:val="0"/>
                <w:numId w:val="1"/>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對所轉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之商品為特定結果之保證。</w:t>
            </w:r>
          </w:p>
          <w:p w:rsidR="00A11BD6" w:rsidRPr="00A11BD6" w:rsidRDefault="00A11BD6" w:rsidP="003B0963">
            <w:pPr>
              <w:pStyle w:val="ae"/>
              <w:numPr>
                <w:ilvl w:val="0"/>
                <w:numId w:val="1"/>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其他違反法令或自律規章之情事。</w:t>
            </w:r>
          </w:p>
          <w:p w:rsidR="00A11BD6" w:rsidRPr="00A11BD6" w:rsidRDefault="00A11BD6" w:rsidP="001E161F">
            <w:pPr>
              <w:pStyle w:val="ae"/>
              <w:adjustRightInd w:val="0"/>
              <w:snapToGrid w:val="0"/>
              <w:spacing w:line="300" w:lineRule="auto"/>
              <w:ind w:leftChars="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第六條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槓桿交易商辦理轉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槓桿保證金契約業務，應建立商品審查制度，其內容至少應包含下列事項：</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審查人員的組成。</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審查的程序。</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得轉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之商品種類。</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商品之合法性。</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商品之屬性及適合的投資人屬性。</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產品說明書內容之正確性及資訊之充分揭露。</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利益衝突之評估。</w:t>
            </w:r>
          </w:p>
          <w:p w:rsidR="00A11BD6" w:rsidRPr="00A11BD6" w:rsidRDefault="00A11BD6" w:rsidP="003B0963">
            <w:pPr>
              <w:pStyle w:val="ae"/>
              <w:numPr>
                <w:ilvl w:val="0"/>
                <w:numId w:val="6"/>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合宜的獎金或績效評量制度。</w:t>
            </w:r>
          </w:p>
          <w:p w:rsidR="00A11BD6" w:rsidRPr="00A11BD6" w:rsidRDefault="00A11BD6" w:rsidP="001E161F">
            <w:pPr>
              <w:adjustRightInd w:val="0"/>
              <w:snapToGrid w:val="0"/>
              <w:spacing w:line="300" w:lineRule="auto"/>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第七條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前條所稱合宜的獎金或績效評量制度，應包含下列原則：</w:t>
            </w:r>
          </w:p>
          <w:p w:rsidR="00A11BD6" w:rsidRPr="00A11BD6" w:rsidRDefault="00A11BD6" w:rsidP="003B0963">
            <w:pPr>
              <w:pStyle w:val="ae"/>
              <w:numPr>
                <w:ilvl w:val="0"/>
                <w:numId w:val="3"/>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應確保所訂定之獎金制度，不得影響業務員轉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特定商品予客戶之客觀與公正性。</w:t>
            </w:r>
          </w:p>
          <w:p w:rsidR="00A11BD6" w:rsidRPr="00A11BD6" w:rsidRDefault="00A11BD6" w:rsidP="003B0963">
            <w:pPr>
              <w:pStyle w:val="ae"/>
              <w:numPr>
                <w:ilvl w:val="0"/>
                <w:numId w:val="3"/>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與其他金融商品之佣金，不得差異過大，避免造成</w:t>
            </w:r>
            <w:proofErr w:type="gramStart"/>
            <w:r w:rsidRPr="00A11BD6">
              <w:rPr>
                <w:rFonts w:ascii="標楷體" w:eastAsia="標楷體" w:hAnsi="標楷體" w:hint="eastAsia"/>
                <w:snapToGrid w:val="0"/>
                <w:kern w:val="0"/>
              </w:rPr>
              <w:t>誘</w:t>
            </w:r>
            <w:proofErr w:type="gramEnd"/>
            <w:r w:rsidRPr="00A11BD6">
              <w:rPr>
                <w:rFonts w:ascii="標楷體" w:eastAsia="標楷體" w:hAnsi="標楷體" w:hint="eastAsia"/>
                <w:snapToGrid w:val="0"/>
                <w:kern w:val="0"/>
              </w:rPr>
              <w:t>引業務員轉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特定商品之行為。</w:t>
            </w:r>
            <w:proofErr w:type="gramStart"/>
            <w:r w:rsidRPr="00A11BD6">
              <w:rPr>
                <w:rFonts w:ascii="標楷體" w:eastAsia="標楷體" w:hAnsi="標楷體" w:hint="eastAsia"/>
                <w:snapToGrid w:val="0"/>
                <w:kern w:val="0"/>
              </w:rPr>
              <w:t>惟</w:t>
            </w:r>
            <w:proofErr w:type="gramEnd"/>
            <w:r w:rsidRPr="00A11BD6">
              <w:rPr>
                <w:rFonts w:ascii="標楷體" w:eastAsia="標楷體" w:hAnsi="標楷體" w:hint="eastAsia"/>
                <w:snapToGrid w:val="0"/>
                <w:kern w:val="0"/>
              </w:rPr>
              <w:t>金融商品之佣金和其它金融商品差異過大時,應進一步衡量該金融商品於不同公司提供類似商品、或不同通路間之相同產品之佣金是否合理，若無不合理之情形，則此種金融商品不受前述佣金不得差異過大之限制。</w:t>
            </w:r>
          </w:p>
          <w:p w:rsidR="00A11BD6" w:rsidRDefault="00A11BD6" w:rsidP="004E1866">
            <w:pPr>
              <w:pStyle w:val="ae"/>
              <w:numPr>
                <w:ilvl w:val="0"/>
                <w:numId w:val="3"/>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注意業務員是否有勸誘客戶於</w:t>
            </w:r>
            <w:proofErr w:type="gramStart"/>
            <w:r w:rsidRPr="00A11BD6">
              <w:rPr>
                <w:rFonts w:ascii="標楷體" w:eastAsia="標楷體" w:hAnsi="標楷體" w:hint="eastAsia"/>
                <w:snapToGrid w:val="0"/>
                <w:kern w:val="0"/>
              </w:rPr>
              <w:t>短期間內</w:t>
            </w:r>
            <w:proofErr w:type="gramEnd"/>
            <w:r w:rsidRPr="00A11BD6">
              <w:rPr>
                <w:rFonts w:ascii="標楷體" w:eastAsia="標楷體" w:hAnsi="標楷體" w:hint="eastAsia"/>
                <w:snapToGrid w:val="0"/>
                <w:kern w:val="0"/>
              </w:rPr>
              <w:t>，以多次提前終止再投資或頻繁交易之方式不當賺取佣金之情事。</w:t>
            </w:r>
          </w:p>
          <w:p w:rsidR="00A11BD6" w:rsidRPr="00A11BD6" w:rsidRDefault="00A11BD6" w:rsidP="00A11BD6">
            <w:pPr>
              <w:pStyle w:val="ae"/>
              <w:adjustRightInd w:val="0"/>
              <w:snapToGrid w:val="0"/>
              <w:spacing w:line="300" w:lineRule="auto"/>
              <w:ind w:leftChars="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第八條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槓桿交易商辦理轉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槓桿保證金契約業務，應建立防範內線交易及利益衝突之</w:t>
            </w:r>
            <w:r w:rsidRPr="00A11BD6">
              <w:rPr>
                <w:rFonts w:ascii="標楷體" w:eastAsia="標楷體" w:hAnsi="標楷體" w:hint="eastAsia"/>
                <w:snapToGrid w:val="0"/>
                <w:kern w:val="0"/>
              </w:rPr>
              <w:lastRenderedPageBreak/>
              <w:t>機制，其內容至少應包括下列事項：</w:t>
            </w:r>
          </w:p>
          <w:p w:rsidR="00A11BD6" w:rsidRPr="00A11BD6" w:rsidRDefault="00A11BD6" w:rsidP="003B0963">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建立資訊隔離之機制，以避免不當流用。</w:t>
            </w:r>
          </w:p>
          <w:p w:rsidR="00A11BD6" w:rsidRPr="00A11BD6" w:rsidRDefault="00A11BD6" w:rsidP="003B0963">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充分揭露相關費用。</w:t>
            </w:r>
          </w:p>
          <w:p w:rsidR="00A11BD6" w:rsidRPr="00A11BD6" w:rsidRDefault="00A11BD6" w:rsidP="003B0963">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建立適當的人員教育訓練制度，加強轉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人員之職業道德。</w:t>
            </w:r>
          </w:p>
          <w:p w:rsidR="00A11BD6" w:rsidRPr="00A11BD6" w:rsidRDefault="00A11BD6" w:rsidP="003B0963">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人員應將客戶利益列為優先，槓桿保證金契約業務部門主管對於特定之個人交易與客戶利益有衝突之虞而不適當時應不予核准。</w:t>
            </w:r>
          </w:p>
          <w:p w:rsidR="00A11BD6" w:rsidRPr="00A11BD6" w:rsidRDefault="00A11BD6" w:rsidP="003B0963">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人員直接或間接接受客戶或第三人之饋贈應訂定規範標準或管理措施。</w:t>
            </w:r>
          </w:p>
          <w:p w:rsidR="00A11BD6" w:rsidRPr="00A11BD6" w:rsidRDefault="00A11BD6" w:rsidP="003B0963">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人員不得接受客戶不合法交易，從客戶獲知其</w:t>
            </w:r>
            <w:proofErr w:type="gramStart"/>
            <w:r w:rsidRPr="00A11BD6">
              <w:rPr>
                <w:rFonts w:ascii="標楷體" w:eastAsia="標楷體" w:hAnsi="標楷體" w:hint="eastAsia"/>
                <w:snapToGrid w:val="0"/>
                <w:kern w:val="0"/>
              </w:rPr>
              <w:t>買賣某標的</w:t>
            </w:r>
            <w:proofErr w:type="gramEnd"/>
            <w:r w:rsidRPr="00A11BD6">
              <w:rPr>
                <w:rFonts w:ascii="標楷體" w:eastAsia="標楷體" w:hAnsi="標楷體" w:hint="eastAsia"/>
                <w:snapToGrid w:val="0"/>
                <w:kern w:val="0"/>
              </w:rPr>
              <w:t>商品之相關訊息，有利益衝突或不當得利之虞者，不得從事該等標的之買賣。</w:t>
            </w:r>
          </w:p>
          <w:p w:rsidR="00A11BD6" w:rsidRPr="00A11BD6" w:rsidRDefault="00A11BD6" w:rsidP="003B0963">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人員不得以收取佣金多寡為轉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槓桿保證金契約之考量，亦不得以特定利益或不實廣告，利誘客戶買賣特定商品。</w:t>
            </w:r>
          </w:p>
          <w:p w:rsidR="00A11BD6" w:rsidRPr="00A11BD6" w:rsidRDefault="00A11BD6" w:rsidP="00D22F11">
            <w:pPr>
              <w:pStyle w:val="ae"/>
              <w:numPr>
                <w:ilvl w:val="0"/>
                <w:numId w:val="2"/>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人員辦理轉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槓桿保證金契約業務，應明確告知客戶其所屬部門，不得有混淆客戶之行為。</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槓桿交易商應就前項防範內線交易及利益衝突之機制訂定嚴謹內部控制規範及加強內部稽核。</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lastRenderedPageBreak/>
              <w:t>第九條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槓桿交易商辦理轉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槓桿保證金契約業務，應於開辦前檢具下列書件，向本中心提出申請：</w:t>
            </w:r>
          </w:p>
          <w:p w:rsidR="00A11BD6" w:rsidRPr="00A11BD6" w:rsidRDefault="00A11BD6" w:rsidP="003B0963">
            <w:pPr>
              <w:pStyle w:val="ae"/>
              <w:numPr>
                <w:ilvl w:val="0"/>
                <w:numId w:val="4"/>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申請書及聲明書（如附件一）。</w:t>
            </w:r>
          </w:p>
          <w:p w:rsidR="00A11BD6" w:rsidRPr="00A11BD6" w:rsidRDefault="00A11BD6" w:rsidP="003B0963">
            <w:pPr>
              <w:pStyle w:val="ae"/>
              <w:numPr>
                <w:ilvl w:val="0"/>
                <w:numId w:val="4"/>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董事會核可辦理本項業務議事錄。</w:t>
            </w:r>
          </w:p>
          <w:p w:rsidR="00A11BD6" w:rsidRPr="00A11BD6" w:rsidRDefault="00A11BD6" w:rsidP="003B0963">
            <w:pPr>
              <w:pStyle w:val="ae"/>
              <w:numPr>
                <w:ilvl w:val="0"/>
                <w:numId w:val="4"/>
              </w:numPr>
              <w:adjustRightInd w:val="0"/>
              <w:snapToGrid w:val="0"/>
              <w:spacing w:line="300" w:lineRule="auto"/>
              <w:ind w:leftChars="0"/>
              <w:jc w:val="both"/>
              <w:rPr>
                <w:rFonts w:ascii="標楷體" w:eastAsia="標楷體" w:hAnsi="標楷體"/>
                <w:snapToGrid w:val="0"/>
                <w:kern w:val="0"/>
              </w:rPr>
            </w:pPr>
            <w:r w:rsidRPr="00A11BD6">
              <w:rPr>
                <w:rFonts w:ascii="標楷體" w:eastAsia="標楷體" w:hAnsi="標楷體" w:hint="eastAsia"/>
                <w:snapToGrid w:val="0"/>
                <w:kern w:val="0"/>
              </w:rPr>
              <w:t>營業計畫書：包括商品審查制度、防範內線交易及利益衝突機制、客戶申訴案件處理程序及內部控制與內部稽核制度。</w:t>
            </w:r>
          </w:p>
          <w:p w:rsidR="00A11BD6" w:rsidRPr="00A11BD6" w:rsidRDefault="00A11BD6" w:rsidP="003B0963">
            <w:pPr>
              <w:pStyle w:val="ae"/>
              <w:numPr>
                <w:ilvl w:val="0"/>
                <w:numId w:val="4"/>
              </w:numPr>
              <w:adjustRightInd w:val="0"/>
              <w:snapToGrid w:val="0"/>
              <w:spacing w:line="300" w:lineRule="auto"/>
              <w:ind w:leftChars="0"/>
              <w:jc w:val="both"/>
              <w:rPr>
                <w:rFonts w:ascii="標楷體" w:eastAsia="標楷體" w:hAnsi="標楷體"/>
                <w:snapToGrid w:val="0"/>
                <w:kern w:val="0"/>
                <w:szCs w:val="24"/>
              </w:rPr>
            </w:pPr>
            <w:r w:rsidRPr="00A11BD6">
              <w:rPr>
                <w:rFonts w:ascii="標楷體" w:eastAsia="標楷體" w:hAnsi="標楷體" w:hint="eastAsia"/>
                <w:snapToGrid w:val="0"/>
                <w:kern w:val="0"/>
              </w:rPr>
              <w:t>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zCs w:val="24"/>
              </w:rPr>
              <w:t>槓桿保證金契約業務之總分支機構名稱及業務員登記清冊。</w:t>
            </w:r>
          </w:p>
          <w:p w:rsidR="00A11BD6" w:rsidRPr="00A11BD6" w:rsidRDefault="00A11BD6" w:rsidP="003B0963">
            <w:pPr>
              <w:pStyle w:val="ae"/>
              <w:numPr>
                <w:ilvl w:val="0"/>
                <w:numId w:val="4"/>
              </w:numPr>
              <w:adjustRightInd w:val="0"/>
              <w:snapToGrid w:val="0"/>
              <w:spacing w:line="300" w:lineRule="auto"/>
              <w:ind w:leftChars="0"/>
              <w:jc w:val="both"/>
              <w:rPr>
                <w:rFonts w:ascii="標楷體" w:eastAsia="標楷體" w:hAnsi="標楷體"/>
                <w:snapToGrid w:val="0"/>
                <w:kern w:val="0"/>
                <w:szCs w:val="24"/>
              </w:rPr>
            </w:pPr>
            <w:r w:rsidRPr="00A11BD6">
              <w:rPr>
                <w:rFonts w:ascii="標楷體" w:eastAsia="標楷體" w:hAnsi="標楷體" w:hint="eastAsia"/>
                <w:szCs w:val="24"/>
              </w:rPr>
              <w:t>業務審核表（如附件二）。</w:t>
            </w:r>
          </w:p>
          <w:p w:rsidR="00A11BD6" w:rsidRPr="00A11BD6" w:rsidRDefault="00A11BD6" w:rsidP="001E161F">
            <w:pPr>
              <w:pStyle w:val="ae"/>
              <w:adjustRightInd w:val="0"/>
              <w:snapToGrid w:val="0"/>
              <w:spacing w:line="300" w:lineRule="auto"/>
              <w:ind w:leftChars="0" w:left="0"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槓桿交易商於申請書件送達本中心之次日起十五日，未經本中心表示禁止者，即表同意。但槓桿交易商不得於前揭期間內，辦理所申請之業務。</w:t>
            </w:r>
          </w:p>
          <w:p w:rsidR="00A11BD6" w:rsidRDefault="0029725E" w:rsidP="001E161F">
            <w:pPr>
              <w:pStyle w:val="ae"/>
              <w:adjustRightInd w:val="0"/>
              <w:snapToGrid w:val="0"/>
              <w:spacing w:line="300" w:lineRule="auto"/>
              <w:ind w:leftChars="0" w:left="0" w:firstLineChars="200" w:firstLine="480"/>
              <w:jc w:val="both"/>
              <w:rPr>
                <w:rFonts w:ascii="標楷體" w:eastAsia="標楷體" w:hAnsi="標楷體"/>
                <w:snapToGrid w:val="0"/>
                <w:kern w:val="0"/>
              </w:rPr>
            </w:pPr>
            <w:r>
              <w:rPr>
                <w:rFonts w:ascii="標楷體" w:eastAsia="標楷體" w:hAnsi="標楷體" w:hint="eastAsia"/>
                <w:snapToGrid w:val="0"/>
                <w:kern w:val="0"/>
              </w:rPr>
              <w:t>第一項第四</w:t>
            </w:r>
            <w:r w:rsidR="00A11BD6" w:rsidRPr="00A11BD6">
              <w:rPr>
                <w:rFonts w:ascii="標楷體" w:eastAsia="標楷體" w:hAnsi="標楷體" w:hint="eastAsia"/>
                <w:snapToGrid w:val="0"/>
                <w:kern w:val="0"/>
              </w:rPr>
              <w:t>款轉介槓桿保證金契約業務之總分支機構如有異動或新增，應於事實發生之日起十五日內，函報本中心備查。</w:t>
            </w:r>
          </w:p>
          <w:p w:rsidR="00A11BD6" w:rsidRPr="00A11BD6" w:rsidRDefault="00A11BD6" w:rsidP="001E161F">
            <w:pPr>
              <w:pStyle w:val="ae"/>
              <w:adjustRightInd w:val="0"/>
              <w:snapToGrid w:val="0"/>
              <w:spacing w:line="300" w:lineRule="auto"/>
              <w:ind w:leftChars="0" w:left="0" w:firstLineChars="200" w:firstLine="480"/>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第十條</w:t>
            </w:r>
          </w:p>
          <w:p w:rsid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 xml:space="preserve">    槓桿交易商依前條規定申請轉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人員轉</w:t>
            </w:r>
            <w:proofErr w:type="gramStart"/>
            <w:r w:rsidRPr="00A11BD6">
              <w:rPr>
                <w:rFonts w:ascii="標楷體" w:eastAsia="標楷體" w:hAnsi="標楷體" w:hint="eastAsia"/>
                <w:snapToGrid w:val="0"/>
                <w:kern w:val="0"/>
              </w:rPr>
              <w:t>介</w:t>
            </w:r>
            <w:proofErr w:type="gramEnd"/>
            <w:r w:rsidRPr="00A11BD6">
              <w:rPr>
                <w:rFonts w:ascii="標楷體" w:eastAsia="標楷體" w:hAnsi="標楷體" w:hint="eastAsia"/>
                <w:snapToGrid w:val="0"/>
                <w:kern w:val="0"/>
              </w:rPr>
              <w:t>槓桿保證金契約業務時，應向本中心繳納</w:t>
            </w:r>
            <w:proofErr w:type="gramStart"/>
            <w:r w:rsidRPr="00A11BD6">
              <w:rPr>
                <w:rFonts w:ascii="標楷體" w:eastAsia="標楷體" w:hAnsi="標楷體" w:hint="eastAsia"/>
                <w:snapToGrid w:val="0"/>
                <w:kern w:val="0"/>
              </w:rPr>
              <w:t>審查費新臺幣</w:t>
            </w:r>
            <w:proofErr w:type="gramEnd"/>
            <w:r w:rsidRPr="00A11BD6">
              <w:rPr>
                <w:rFonts w:ascii="標楷體" w:eastAsia="標楷體" w:hAnsi="標楷體" w:hint="eastAsia"/>
                <w:snapToGrid w:val="0"/>
                <w:kern w:val="0"/>
              </w:rPr>
              <w:t>五萬元整。</w:t>
            </w:r>
          </w:p>
          <w:p w:rsidR="00A11BD6" w:rsidRPr="00A11BD6" w:rsidRDefault="00A11BD6" w:rsidP="001E161F">
            <w:pPr>
              <w:adjustRightInd w:val="0"/>
              <w:snapToGrid w:val="0"/>
              <w:spacing w:line="300" w:lineRule="auto"/>
              <w:jc w:val="both"/>
              <w:rPr>
                <w:rFonts w:ascii="標楷體" w:eastAsia="標楷體" w:hAnsi="標楷體"/>
                <w:snapToGrid w:val="0"/>
                <w:kern w:val="0"/>
              </w:rPr>
            </w:pPr>
          </w:p>
        </w:tc>
      </w:tr>
      <w:tr w:rsidR="00A11BD6" w:rsidRPr="00A11BD6" w:rsidTr="00A11BD6">
        <w:trPr>
          <w:trHeight w:val="535"/>
        </w:trPr>
        <w:tc>
          <w:tcPr>
            <w:tcW w:w="9634" w:type="dxa"/>
          </w:tcPr>
          <w:p w:rsidR="00A11BD6" w:rsidRPr="00A11BD6" w:rsidRDefault="00A11BD6" w:rsidP="001E161F">
            <w:pPr>
              <w:adjustRightInd w:val="0"/>
              <w:snapToGrid w:val="0"/>
              <w:spacing w:line="300" w:lineRule="auto"/>
              <w:jc w:val="both"/>
              <w:rPr>
                <w:rFonts w:ascii="標楷體" w:eastAsia="標楷體" w:hAnsi="標楷體"/>
                <w:snapToGrid w:val="0"/>
                <w:kern w:val="0"/>
              </w:rPr>
            </w:pPr>
            <w:r w:rsidRPr="00A11BD6">
              <w:rPr>
                <w:rFonts w:ascii="標楷體" w:eastAsia="標楷體" w:hAnsi="標楷體" w:hint="eastAsia"/>
                <w:snapToGrid w:val="0"/>
                <w:kern w:val="0"/>
              </w:rPr>
              <w:t>第十一條</w:t>
            </w:r>
          </w:p>
          <w:p w:rsidR="00A11BD6" w:rsidRPr="00A11BD6" w:rsidRDefault="00A11BD6" w:rsidP="001E161F">
            <w:pPr>
              <w:adjustRightInd w:val="0"/>
              <w:snapToGrid w:val="0"/>
              <w:spacing w:line="300" w:lineRule="auto"/>
              <w:ind w:firstLineChars="200" w:firstLine="480"/>
              <w:jc w:val="both"/>
              <w:rPr>
                <w:rFonts w:ascii="標楷體" w:eastAsia="標楷體" w:hAnsi="標楷體"/>
                <w:snapToGrid w:val="0"/>
                <w:kern w:val="0"/>
              </w:rPr>
            </w:pPr>
            <w:r w:rsidRPr="00A11BD6">
              <w:rPr>
                <w:rFonts w:ascii="標楷體" w:eastAsia="標楷體" w:hAnsi="標楷體" w:hint="eastAsia"/>
                <w:snapToGrid w:val="0"/>
                <w:kern w:val="0"/>
              </w:rPr>
              <w:t>本規範經報請主管機關核定後，公告施行，修正時亦同。</w:t>
            </w:r>
          </w:p>
        </w:tc>
      </w:tr>
    </w:tbl>
    <w:p w:rsidR="00B76321" w:rsidRPr="00E449D9" w:rsidRDefault="00B76321" w:rsidP="00E91D46">
      <w:pPr>
        <w:pStyle w:val="31"/>
        <w:adjustRightInd w:val="0"/>
        <w:snapToGrid w:val="0"/>
        <w:rPr>
          <w:rFonts w:ascii="標楷體" w:hAnsi="標楷體"/>
          <w:b/>
          <w:bCs/>
          <w:sz w:val="36"/>
        </w:rPr>
      </w:pPr>
    </w:p>
    <w:p w:rsidR="007D5084" w:rsidRPr="00E449D9" w:rsidRDefault="007D5084" w:rsidP="00E91D46">
      <w:pPr>
        <w:pStyle w:val="3"/>
        <w:ind w:firstLineChars="0" w:firstLine="0"/>
        <w:rPr>
          <w:rFonts w:ascii="標楷體" w:hAnsi="標楷體"/>
          <w:color w:val="auto"/>
        </w:rPr>
      </w:pPr>
    </w:p>
    <w:p w:rsidR="007D10F7" w:rsidRPr="00E449D9" w:rsidRDefault="007D10F7" w:rsidP="00E91D46">
      <w:pPr>
        <w:adjustRightInd w:val="0"/>
        <w:snapToGrid w:val="0"/>
        <w:rPr>
          <w:rFonts w:ascii="標楷體" w:eastAsia="標楷體" w:hAnsi="標楷體"/>
        </w:rPr>
      </w:pPr>
    </w:p>
    <w:sectPr w:rsidR="007D10F7" w:rsidRPr="00E449D9" w:rsidSect="0051790D">
      <w:footerReference w:type="even" r:id="rId8"/>
      <w:footerReference w:type="default" r:id="rId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69" w:rsidRDefault="00693569">
      <w:r>
        <w:separator/>
      </w:r>
    </w:p>
  </w:endnote>
  <w:endnote w:type="continuationSeparator" w:id="0">
    <w:p w:rsidR="00693569" w:rsidRDefault="0069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0C" w:rsidRDefault="00BC41D4">
    <w:pPr>
      <w:pStyle w:val="2"/>
      <w:framePr w:wrap="around" w:vAnchor="text" w:hAnchor="margin" w:xAlign="center" w:y="1"/>
      <w:textDirection w:val="btLr"/>
      <w:rPr>
        <w:rStyle w:val="a7"/>
      </w:rPr>
    </w:pPr>
    <w:r>
      <w:rPr>
        <w:rStyle w:val="a7"/>
      </w:rPr>
      <w:fldChar w:fldCharType="begin"/>
    </w:r>
    <w:r w:rsidR="00D52D0C">
      <w:rPr>
        <w:rStyle w:val="a7"/>
      </w:rPr>
      <w:instrText xml:space="preserve">PAGE  </w:instrText>
    </w:r>
    <w:r>
      <w:rPr>
        <w:rStyle w:val="a7"/>
      </w:rPr>
      <w:fldChar w:fldCharType="separate"/>
    </w:r>
    <w:r w:rsidR="00D52D0C">
      <w:rPr>
        <w:rStyle w:val="a7"/>
        <w:noProof/>
      </w:rPr>
      <w:t>1</w:t>
    </w:r>
    <w:r>
      <w:rPr>
        <w:rStyle w:val="a7"/>
      </w:rPr>
      <w:fldChar w:fldCharType="end"/>
    </w:r>
  </w:p>
  <w:p w:rsidR="00D52D0C" w:rsidRDefault="00D52D0C">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0C" w:rsidRDefault="00BC41D4">
    <w:pPr>
      <w:pStyle w:val="2"/>
      <w:framePr w:wrap="around" w:vAnchor="text" w:hAnchor="margin" w:xAlign="center" w:y="1"/>
      <w:rPr>
        <w:rStyle w:val="a7"/>
      </w:rPr>
    </w:pPr>
    <w:r>
      <w:rPr>
        <w:rStyle w:val="a7"/>
      </w:rPr>
      <w:fldChar w:fldCharType="begin"/>
    </w:r>
    <w:r w:rsidR="00D52D0C">
      <w:rPr>
        <w:rStyle w:val="a7"/>
      </w:rPr>
      <w:instrText xml:space="preserve">PAGE  </w:instrText>
    </w:r>
    <w:r>
      <w:rPr>
        <w:rStyle w:val="a7"/>
      </w:rPr>
      <w:fldChar w:fldCharType="separate"/>
    </w:r>
    <w:r w:rsidR="00A75C1D">
      <w:rPr>
        <w:rStyle w:val="a7"/>
        <w:noProof/>
      </w:rPr>
      <w:t>2</w:t>
    </w:r>
    <w:r>
      <w:rPr>
        <w:rStyle w:val="a7"/>
      </w:rPr>
      <w:fldChar w:fldCharType="end"/>
    </w:r>
  </w:p>
  <w:p w:rsidR="00D52D0C" w:rsidRDefault="00D52D0C">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69" w:rsidRDefault="00693569">
      <w:r>
        <w:separator/>
      </w:r>
    </w:p>
  </w:footnote>
  <w:footnote w:type="continuationSeparator" w:id="0">
    <w:p w:rsidR="00693569" w:rsidRDefault="00693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402"/>
    <w:multiLevelType w:val="hybridMultilevel"/>
    <w:tmpl w:val="DFA0BEF4"/>
    <w:lvl w:ilvl="0" w:tplc="7ABA9560">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E7011"/>
    <w:multiLevelType w:val="hybridMultilevel"/>
    <w:tmpl w:val="58D43622"/>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6D044C"/>
    <w:multiLevelType w:val="hybridMultilevel"/>
    <w:tmpl w:val="199823DA"/>
    <w:lvl w:ilvl="0" w:tplc="3716CCF4">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F32564"/>
    <w:multiLevelType w:val="hybridMultilevel"/>
    <w:tmpl w:val="551EDAEC"/>
    <w:lvl w:ilvl="0" w:tplc="F674889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B62F9"/>
    <w:multiLevelType w:val="hybridMultilevel"/>
    <w:tmpl w:val="4DD8EF5E"/>
    <w:lvl w:ilvl="0" w:tplc="54E67A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A76716"/>
    <w:multiLevelType w:val="hybridMultilevel"/>
    <w:tmpl w:val="1952D17E"/>
    <w:lvl w:ilvl="0" w:tplc="F580E3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6339B6"/>
    <w:multiLevelType w:val="hybridMultilevel"/>
    <w:tmpl w:val="6CDE1D64"/>
    <w:lvl w:ilvl="0" w:tplc="552A913A">
      <w:start w:val="1"/>
      <w:numFmt w:val="taiwaneseCountingThousand"/>
      <w:lvlText w:val="%1、"/>
      <w:lvlJc w:val="left"/>
      <w:pPr>
        <w:ind w:left="480" w:hanging="480"/>
      </w:pPr>
      <w:rPr>
        <w:rFonts w:hint="eastAsia"/>
        <w:b w:val="0"/>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CB218C"/>
    <w:multiLevelType w:val="hybridMultilevel"/>
    <w:tmpl w:val="9AE85CFA"/>
    <w:lvl w:ilvl="0" w:tplc="DC0A11C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391DA0"/>
    <w:multiLevelType w:val="hybridMultilevel"/>
    <w:tmpl w:val="655278C2"/>
    <w:lvl w:ilvl="0" w:tplc="19E6E8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F42566"/>
    <w:multiLevelType w:val="hybridMultilevel"/>
    <w:tmpl w:val="CADA9DD8"/>
    <w:lvl w:ilvl="0" w:tplc="552A913A">
      <w:start w:val="1"/>
      <w:numFmt w:val="taiwaneseCountingThousand"/>
      <w:lvlText w:val="%1、"/>
      <w:lvlJc w:val="left"/>
      <w:pPr>
        <w:ind w:left="480" w:hanging="480"/>
      </w:pPr>
      <w:rPr>
        <w:rFonts w:hint="eastAsia"/>
        <w:b w:val="0"/>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C76A40"/>
    <w:multiLevelType w:val="hybridMultilevel"/>
    <w:tmpl w:val="B20AB1A2"/>
    <w:lvl w:ilvl="0" w:tplc="877C1554">
      <w:start w:val="1"/>
      <w:numFmt w:val="taiwaneseCountingThousand"/>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182E92"/>
    <w:multiLevelType w:val="hybridMultilevel"/>
    <w:tmpl w:val="CCB82DCC"/>
    <w:lvl w:ilvl="0" w:tplc="3A5ADE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2A4DD3"/>
    <w:multiLevelType w:val="hybridMultilevel"/>
    <w:tmpl w:val="AD2C1AC2"/>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D80625"/>
    <w:multiLevelType w:val="hybridMultilevel"/>
    <w:tmpl w:val="D4DEF1DE"/>
    <w:lvl w:ilvl="0" w:tplc="552A913A">
      <w:start w:val="1"/>
      <w:numFmt w:val="taiwaneseCountingThousand"/>
      <w:lvlText w:val="%1、"/>
      <w:lvlJc w:val="left"/>
      <w:pPr>
        <w:ind w:left="480" w:hanging="480"/>
      </w:pPr>
      <w:rPr>
        <w:rFonts w:hint="eastAsia"/>
        <w:b w:val="0"/>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825ADB"/>
    <w:multiLevelType w:val="hybridMultilevel"/>
    <w:tmpl w:val="B4D608BE"/>
    <w:lvl w:ilvl="0" w:tplc="AF2255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0D7748"/>
    <w:multiLevelType w:val="hybridMultilevel"/>
    <w:tmpl w:val="1FC4ED20"/>
    <w:lvl w:ilvl="0" w:tplc="D028486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833CDA"/>
    <w:multiLevelType w:val="hybridMultilevel"/>
    <w:tmpl w:val="584CF4BA"/>
    <w:lvl w:ilvl="0" w:tplc="F580E3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6"/>
  </w:num>
  <w:num w:numId="4">
    <w:abstractNumId w:val="9"/>
  </w:num>
  <w:num w:numId="5">
    <w:abstractNumId w:val="5"/>
  </w:num>
  <w:num w:numId="6">
    <w:abstractNumId w:val="16"/>
  </w:num>
  <w:num w:numId="7">
    <w:abstractNumId w:val="11"/>
  </w:num>
  <w:num w:numId="8">
    <w:abstractNumId w:val="0"/>
  </w:num>
  <w:num w:numId="9">
    <w:abstractNumId w:val="10"/>
  </w:num>
  <w:num w:numId="10">
    <w:abstractNumId w:val="4"/>
  </w:num>
  <w:num w:numId="11">
    <w:abstractNumId w:val="14"/>
  </w:num>
  <w:num w:numId="12">
    <w:abstractNumId w:val="2"/>
  </w:num>
  <w:num w:numId="13">
    <w:abstractNumId w:val="15"/>
  </w:num>
  <w:num w:numId="14">
    <w:abstractNumId w:val="1"/>
  </w:num>
  <w:num w:numId="15">
    <w:abstractNumId w:val="7"/>
  </w:num>
  <w:num w:numId="16">
    <w:abstractNumId w:val="3"/>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84"/>
    <w:rsid w:val="00000ABC"/>
    <w:rsid w:val="00000FCA"/>
    <w:rsid w:val="0000159F"/>
    <w:rsid w:val="000022FD"/>
    <w:rsid w:val="00004223"/>
    <w:rsid w:val="0001067B"/>
    <w:rsid w:val="0001200E"/>
    <w:rsid w:val="00014CC6"/>
    <w:rsid w:val="00015C98"/>
    <w:rsid w:val="0001667B"/>
    <w:rsid w:val="00017F2C"/>
    <w:rsid w:val="0002045F"/>
    <w:rsid w:val="00022428"/>
    <w:rsid w:val="00024F11"/>
    <w:rsid w:val="00024F74"/>
    <w:rsid w:val="00035909"/>
    <w:rsid w:val="000418BC"/>
    <w:rsid w:val="00047C40"/>
    <w:rsid w:val="0005077A"/>
    <w:rsid w:val="00050889"/>
    <w:rsid w:val="000543F8"/>
    <w:rsid w:val="00055304"/>
    <w:rsid w:val="00060B47"/>
    <w:rsid w:val="00061D30"/>
    <w:rsid w:val="0006447C"/>
    <w:rsid w:val="00064668"/>
    <w:rsid w:val="00064808"/>
    <w:rsid w:val="000735B7"/>
    <w:rsid w:val="00073FA6"/>
    <w:rsid w:val="00076191"/>
    <w:rsid w:val="000776DF"/>
    <w:rsid w:val="00077AE8"/>
    <w:rsid w:val="00082DD9"/>
    <w:rsid w:val="00083708"/>
    <w:rsid w:val="000837FD"/>
    <w:rsid w:val="0008482A"/>
    <w:rsid w:val="00085764"/>
    <w:rsid w:val="00086D41"/>
    <w:rsid w:val="00086FDD"/>
    <w:rsid w:val="00087248"/>
    <w:rsid w:val="000916EC"/>
    <w:rsid w:val="00091BC3"/>
    <w:rsid w:val="00091CE4"/>
    <w:rsid w:val="000948F5"/>
    <w:rsid w:val="00097619"/>
    <w:rsid w:val="0009791C"/>
    <w:rsid w:val="000A00BE"/>
    <w:rsid w:val="000A17DF"/>
    <w:rsid w:val="000A442A"/>
    <w:rsid w:val="000A56EA"/>
    <w:rsid w:val="000B1B9B"/>
    <w:rsid w:val="000B2108"/>
    <w:rsid w:val="000B24FC"/>
    <w:rsid w:val="000B4675"/>
    <w:rsid w:val="000B46E9"/>
    <w:rsid w:val="000B5BD5"/>
    <w:rsid w:val="000B7D6A"/>
    <w:rsid w:val="000C18C0"/>
    <w:rsid w:val="000C1D2A"/>
    <w:rsid w:val="000C51D7"/>
    <w:rsid w:val="000C5504"/>
    <w:rsid w:val="000D0D50"/>
    <w:rsid w:val="000D183F"/>
    <w:rsid w:val="000D2B9A"/>
    <w:rsid w:val="000D6043"/>
    <w:rsid w:val="000D6AD2"/>
    <w:rsid w:val="000D7837"/>
    <w:rsid w:val="000E0F62"/>
    <w:rsid w:val="000E6C87"/>
    <w:rsid w:val="000E75F5"/>
    <w:rsid w:val="000F1768"/>
    <w:rsid w:val="000F234B"/>
    <w:rsid w:val="00101866"/>
    <w:rsid w:val="001028C0"/>
    <w:rsid w:val="00103473"/>
    <w:rsid w:val="00104119"/>
    <w:rsid w:val="00104A5C"/>
    <w:rsid w:val="00106920"/>
    <w:rsid w:val="001103DF"/>
    <w:rsid w:val="0012161D"/>
    <w:rsid w:val="00123D99"/>
    <w:rsid w:val="00126604"/>
    <w:rsid w:val="001267E6"/>
    <w:rsid w:val="00130F3C"/>
    <w:rsid w:val="00131042"/>
    <w:rsid w:val="00131442"/>
    <w:rsid w:val="001322F6"/>
    <w:rsid w:val="00133782"/>
    <w:rsid w:val="001338F4"/>
    <w:rsid w:val="0013630A"/>
    <w:rsid w:val="00136EB6"/>
    <w:rsid w:val="00141677"/>
    <w:rsid w:val="00143BE5"/>
    <w:rsid w:val="0014406A"/>
    <w:rsid w:val="001456E2"/>
    <w:rsid w:val="00150005"/>
    <w:rsid w:val="00151515"/>
    <w:rsid w:val="00153ABC"/>
    <w:rsid w:val="00154346"/>
    <w:rsid w:val="00162021"/>
    <w:rsid w:val="001660FE"/>
    <w:rsid w:val="00166334"/>
    <w:rsid w:val="00170AFA"/>
    <w:rsid w:val="00173C74"/>
    <w:rsid w:val="00177EE4"/>
    <w:rsid w:val="001814E7"/>
    <w:rsid w:val="00183D59"/>
    <w:rsid w:val="00183F54"/>
    <w:rsid w:val="001848D7"/>
    <w:rsid w:val="001851D5"/>
    <w:rsid w:val="00187170"/>
    <w:rsid w:val="001917AF"/>
    <w:rsid w:val="001A0A4A"/>
    <w:rsid w:val="001A2D6E"/>
    <w:rsid w:val="001A3147"/>
    <w:rsid w:val="001A6EC7"/>
    <w:rsid w:val="001A7240"/>
    <w:rsid w:val="001B139F"/>
    <w:rsid w:val="001B2A4B"/>
    <w:rsid w:val="001B5863"/>
    <w:rsid w:val="001B5FAE"/>
    <w:rsid w:val="001C202A"/>
    <w:rsid w:val="001C2A3D"/>
    <w:rsid w:val="001C31F3"/>
    <w:rsid w:val="001C5907"/>
    <w:rsid w:val="001C7E06"/>
    <w:rsid w:val="001D01F1"/>
    <w:rsid w:val="001D22CB"/>
    <w:rsid w:val="001D4C74"/>
    <w:rsid w:val="001D50D1"/>
    <w:rsid w:val="001D55EA"/>
    <w:rsid w:val="001D6E75"/>
    <w:rsid w:val="001E257F"/>
    <w:rsid w:val="001E3BBB"/>
    <w:rsid w:val="001E5BC1"/>
    <w:rsid w:val="001E60C6"/>
    <w:rsid w:val="001E738A"/>
    <w:rsid w:val="001E760E"/>
    <w:rsid w:val="001F404B"/>
    <w:rsid w:val="001F41EC"/>
    <w:rsid w:val="001F45C7"/>
    <w:rsid w:val="001F5ADC"/>
    <w:rsid w:val="001F7A0C"/>
    <w:rsid w:val="0020085C"/>
    <w:rsid w:val="002013DD"/>
    <w:rsid w:val="00201725"/>
    <w:rsid w:val="00204920"/>
    <w:rsid w:val="002061FF"/>
    <w:rsid w:val="002117D6"/>
    <w:rsid w:val="00212176"/>
    <w:rsid w:val="002124CE"/>
    <w:rsid w:val="00212A3A"/>
    <w:rsid w:val="0021386A"/>
    <w:rsid w:val="00214A23"/>
    <w:rsid w:val="002179F2"/>
    <w:rsid w:val="002200E7"/>
    <w:rsid w:val="0022487D"/>
    <w:rsid w:val="00226C94"/>
    <w:rsid w:val="00227F5F"/>
    <w:rsid w:val="002308E5"/>
    <w:rsid w:val="0023327F"/>
    <w:rsid w:val="002365D9"/>
    <w:rsid w:val="00244086"/>
    <w:rsid w:val="00244C05"/>
    <w:rsid w:val="00250D2B"/>
    <w:rsid w:val="002555AE"/>
    <w:rsid w:val="002555F4"/>
    <w:rsid w:val="002573D5"/>
    <w:rsid w:val="002573E4"/>
    <w:rsid w:val="00261CB4"/>
    <w:rsid w:val="0026475D"/>
    <w:rsid w:val="002654A9"/>
    <w:rsid w:val="00265B9A"/>
    <w:rsid w:val="0027495F"/>
    <w:rsid w:val="00274C95"/>
    <w:rsid w:val="00275BD4"/>
    <w:rsid w:val="00276F23"/>
    <w:rsid w:val="00283EEA"/>
    <w:rsid w:val="00286CFF"/>
    <w:rsid w:val="00287794"/>
    <w:rsid w:val="0029272D"/>
    <w:rsid w:val="0029276F"/>
    <w:rsid w:val="00294606"/>
    <w:rsid w:val="002959B2"/>
    <w:rsid w:val="0029725E"/>
    <w:rsid w:val="002A40E6"/>
    <w:rsid w:val="002A45E9"/>
    <w:rsid w:val="002A490B"/>
    <w:rsid w:val="002A4D88"/>
    <w:rsid w:val="002A51C9"/>
    <w:rsid w:val="002A5E01"/>
    <w:rsid w:val="002B0195"/>
    <w:rsid w:val="002B211D"/>
    <w:rsid w:val="002B36FE"/>
    <w:rsid w:val="002C1740"/>
    <w:rsid w:val="002C274C"/>
    <w:rsid w:val="002C4B87"/>
    <w:rsid w:val="002C63C5"/>
    <w:rsid w:val="002D075F"/>
    <w:rsid w:val="002D0F0C"/>
    <w:rsid w:val="002D57FC"/>
    <w:rsid w:val="002E0DB5"/>
    <w:rsid w:val="002E0FE4"/>
    <w:rsid w:val="002E238F"/>
    <w:rsid w:val="002E244D"/>
    <w:rsid w:val="002E273A"/>
    <w:rsid w:val="002E341F"/>
    <w:rsid w:val="002E3606"/>
    <w:rsid w:val="002E601A"/>
    <w:rsid w:val="002E73F7"/>
    <w:rsid w:val="002E7D8F"/>
    <w:rsid w:val="002F0882"/>
    <w:rsid w:val="002F1267"/>
    <w:rsid w:val="002F337E"/>
    <w:rsid w:val="002F388F"/>
    <w:rsid w:val="002F5225"/>
    <w:rsid w:val="00302DA2"/>
    <w:rsid w:val="00305339"/>
    <w:rsid w:val="003067D0"/>
    <w:rsid w:val="00310CC9"/>
    <w:rsid w:val="00310FAA"/>
    <w:rsid w:val="00311867"/>
    <w:rsid w:val="00311EE7"/>
    <w:rsid w:val="003136AB"/>
    <w:rsid w:val="00327413"/>
    <w:rsid w:val="00327BC4"/>
    <w:rsid w:val="00330DC8"/>
    <w:rsid w:val="00334B34"/>
    <w:rsid w:val="003357F4"/>
    <w:rsid w:val="003374C1"/>
    <w:rsid w:val="00343190"/>
    <w:rsid w:val="0034404D"/>
    <w:rsid w:val="00344979"/>
    <w:rsid w:val="00346612"/>
    <w:rsid w:val="003467B3"/>
    <w:rsid w:val="00353648"/>
    <w:rsid w:val="00354D2C"/>
    <w:rsid w:val="00355852"/>
    <w:rsid w:val="003610E0"/>
    <w:rsid w:val="003637C5"/>
    <w:rsid w:val="003645DB"/>
    <w:rsid w:val="003653BE"/>
    <w:rsid w:val="003711E1"/>
    <w:rsid w:val="0038261C"/>
    <w:rsid w:val="0038577C"/>
    <w:rsid w:val="00386C9B"/>
    <w:rsid w:val="00391594"/>
    <w:rsid w:val="003941B1"/>
    <w:rsid w:val="00397010"/>
    <w:rsid w:val="00397976"/>
    <w:rsid w:val="003A0CA5"/>
    <w:rsid w:val="003A1B99"/>
    <w:rsid w:val="003A4FDB"/>
    <w:rsid w:val="003A55F4"/>
    <w:rsid w:val="003A64DD"/>
    <w:rsid w:val="003B0963"/>
    <w:rsid w:val="003B0B5C"/>
    <w:rsid w:val="003B4C96"/>
    <w:rsid w:val="003B5ACB"/>
    <w:rsid w:val="003B5B14"/>
    <w:rsid w:val="003B73DC"/>
    <w:rsid w:val="003B740C"/>
    <w:rsid w:val="003C26C7"/>
    <w:rsid w:val="003C51EF"/>
    <w:rsid w:val="003D0682"/>
    <w:rsid w:val="003D125B"/>
    <w:rsid w:val="003D2DF6"/>
    <w:rsid w:val="003D571D"/>
    <w:rsid w:val="003D7525"/>
    <w:rsid w:val="003E085F"/>
    <w:rsid w:val="003E7F77"/>
    <w:rsid w:val="003F0FB4"/>
    <w:rsid w:val="003F1A16"/>
    <w:rsid w:val="003F3BFB"/>
    <w:rsid w:val="003F4A4B"/>
    <w:rsid w:val="003F6936"/>
    <w:rsid w:val="0040046D"/>
    <w:rsid w:val="00401583"/>
    <w:rsid w:val="00402819"/>
    <w:rsid w:val="00414037"/>
    <w:rsid w:val="00415512"/>
    <w:rsid w:val="00417016"/>
    <w:rsid w:val="00422385"/>
    <w:rsid w:val="004261E8"/>
    <w:rsid w:val="00430A22"/>
    <w:rsid w:val="004311EC"/>
    <w:rsid w:val="004317DD"/>
    <w:rsid w:val="0043340E"/>
    <w:rsid w:val="00435901"/>
    <w:rsid w:val="00440768"/>
    <w:rsid w:val="0044108C"/>
    <w:rsid w:val="00441ED1"/>
    <w:rsid w:val="00443A99"/>
    <w:rsid w:val="00444BF1"/>
    <w:rsid w:val="0044784D"/>
    <w:rsid w:val="00451260"/>
    <w:rsid w:val="0045598A"/>
    <w:rsid w:val="004559DE"/>
    <w:rsid w:val="00456A59"/>
    <w:rsid w:val="004601F8"/>
    <w:rsid w:val="004607FA"/>
    <w:rsid w:val="00460DD0"/>
    <w:rsid w:val="00462549"/>
    <w:rsid w:val="00464B98"/>
    <w:rsid w:val="00464D03"/>
    <w:rsid w:val="0047278C"/>
    <w:rsid w:val="004765C9"/>
    <w:rsid w:val="0048238B"/>
    <w:rsid w:val="0048324D"/>
    <w:rsid w:val="00483C8C"/>
    <w:rsid w:val="00483FD2"/>
    <w:rsid w:val="004850B9"/>
    <w:rsid w:val="00486EF0"/>
    <w:rsid w:val="00490BC2"/>
    <w:rsid w:val="0049486C"/>
    <w:rsid w:val="00495E2A"/>
    <w:rsid w:val="0049603A"/>
    <w:rsid w:val="004A0554"/>
    <w:rsid w:val="004B15F0"/>
    <w:rsid w:val="004B19DA"/>
    <w:rsid w:val="004B1A0D"/>
    <w:rsid w:val="004B410A"/>
    <w:rsid w:val="004C1C17"/>
    <w:rsid w:val="004C38FD"/>
    <w:rsid w:val="004C6053"/>
    <w:rsid w:val="004C6911"/>
    <w:rsid w:val="004C7BC9"/>
    <w:rsid w:val="004D1D62"/>
    <w:rsid w:val="004D288F"/>
    <w:rsid w:val="004D4708"/>
    <w:rsid w:val="004E1612"/>
    <w:rsid w:val="004E1866"/>
    <w:rsid w:val="004E3DCC"/>
    <w:rsid w:val="004E4B20"/>
    <w:rsid w:val="004E6903"/>
    <w:rsid w:val="004E78E2"/>
    <w:rsid w:val="004E7B98"/>
    <w:rsid w:val="004F0B5E"/>
    <w:rsid w:val="004F0B8E"/>
    <w:rsid w:val="004F3150"/>
    <w:rsid w:val="004F5902"/>
    <w:rsid w:val="00504477"/>
    <w:rsid w:val="00505A3A"/>
    <w:rsid w:val="00506898"/>
    <w:rsid w:val="00506EF4"/>
    <w:rsid w:val="005122E7"/>
    <w:rsid w:val="0051522E"/>
    <w:rsid w:val="00515AA2"/>
    <w:rsid w:val="00515FD5"/>
    <w:rsid w:val="005175B3"/>
    <w:rsid w:val="0051790D"/>
    <w:rsid w:val="00520E99"/>
    <w:rsid w:val="00521F28"/>
    <w:rsid w:val="005227C5"/>
    <w:rsid w:val="0052298E"/>
    <w:rsid w:val="00525541"/>
    <w:rsid w:val="0053244C"/>
    <w:rsid w:val="00533A71"/>
    <w:rsid w:val="00535523"/>
    <w:rsid w:val="005366FF"/>
    <w:rsid w:val="005370B8"/>
    <w:rsid w:val="005379BA"/>
    <w:rsid w:val="00542133"/>
    <w:rsid w:val="005425C4"/>
    <w:rsid w:val="00543837"/>
    <w:rsid w:val="00546471"/>
    <w:rsid w:val="00555A90"/>
    <w:rsid w:val="00555E9D"/>
    <w:rsid w:val="00561A00"/>
    <w:rsid w:val="005630DA"/>
    <w:rsid w:val="0056432A"/>
    <w:rsid w:val="00566F40"/>
    <w:rsid w:val="00572178"/>
    <w:rsid w:val="00572F37"/>
    <w:rsid w:val="005738EF"/>
    <w:rsid w:val="00573A56"/>
    <w:rsid w:val="00574673"/>
    <w:rsid w:val="00576C2F"/>
    <w:rsid w:val="00581990"/>
    <w:rsid w:val="00585876"/>
    <w:rsid w:val="005901B1"/>
    <w:rsid w:val="005945D6"/>
    <w:rsid w:val="00595815"/>
    <w:rsid w:val="00595878"/>
    <w:rsid w:val="005A1D33"/>
    <w:rsid w:val="005A57F5"/>
    <w:rsid w:val="005B2088"/>
    <w:rsid w:val="005B264D"/>
    <w:rsid w:val="005B2B8D"/>
    <w:rsid w:val="005B2EAB"/>
    <w:rsid w:val="005B3580"/>
    <w:rsid w:val="005B5801"/>
    <w:rsid w:val="005B647F"/>
    <w:rsid w:val="005C1C91"/>
    <w:rsid w:val="005C38D4"/>
    <w:rsid w:val="005C7708"/>
    <w:rsid w:val="005D0554"/>
    <w:rsid w:val="005D3D52"/>
    <w:rsid w:val="005D410B"/>
    <w:rsid w:val="005D4A00"/>
    <w:rsid w:val="005D4F18"/>
    <w:rsid w:val="005D546D"/>
    <w:rsid w:val="005D7761"/>
    <w:rsid w:val="005E2AA2"/>
    <w:rsid w:val="005E2BC5"/>
    <w:rsid w:val="005E54E6"/>
    <w:rsid w:val="005E59BD"/>
    <w:rsid w:val="005E7149"/>
    <w:rsid w:val="005E7B6D"/>
    <w:rsid w:val="005F009E"/>
    <w:rsid w:val="005F3FFF"/>
    <w:rsid w:val="005F6506"/>
    <w:rsid w:val="005F7285"/>
    <w:rsid w:val="00600994"/>
    <w:rsid w:val="00602CBB"/>
    <w:rsid w:val="006107CF"/>
    <w:rsid w:val="00614172"/>
    <w:rsid w:val="0061492F"/>
    <w:rsid w:val="00615037"/>
    <w:rsid w:val="0061647C"/>
    <w:rsid w:val="00616A83"/>
    <w:rsid w:val="0062188F"/>
    <w:rsid w:val="00621E8E"/>
    <w:rsid w:val="006221C2"/>
    <w:rsid w:val="00623063"/>
    <w:rsid w:val="0062340C"/>
    <w:rsid w:val="00624A04"/>
    <w:rsid w:val="00624C6B"/>
    <w:rsid w:val="00627DE3"/>
    <w:rsid w:val="00635B02"/>
    <w:rsid w:val="006363C5"/>
    <w:rsid w:val="00637AC4"/>
    <w:rsid w:val="00637B47"/>
    <w:rsid w:val="00640B65"/>
    <w:rsid w:val="00641BAB"/>
    <w:rsid w:val="00642292"/>
    <w:rsid w:val="00642564"/>
    <w:rsid w:val="0064616A"/>
    <w:rsid w:val="006462D9"/>
    <w:rsid w:val="00650BDD"/>
    <w:rsid w:val="00653C9F"/>
    <w:rsid w:val="00653F01"/>
    <w:rsid w:val="0065708E"/>
    <w:rsid w:val="00667117"/>
    <w:rsid w:val="006675B1"/>
    <w:rsid w:val="00667D1B"/>
    <w:rsid w:val="0067292C"/>
    <w:rsid w:val="00675FFD"/>
    <w:rsid w:val="006815C7"/>
    <w:rsid w:val="006818E0"/>
    <w:rsid w:val="00682AAB"/>
    <w:rsid w:val="00684E4D"/>
    <w:rsid w:val="006856BD"/>
    <w:rsid w:val="00690598"/>
    <w:rsid w:val="00690FB7"/>
    <w:rsid w:val="006920E2"/>
    <w:rsid w:val="00693569"/>
    <w:rsid w:val="006939BB"/>
    <w:rsid w:val="006960FB"/>
    <w:rsid w:val="006A0127"/>
    <w:rsid w:val="006A6CEB"/>
    <w:rsid w:val="006A7E5F"/>
    <w:rsid w:val="006B0025"/>
    <w:rsid w:val="006B1A93"/>
    <w:rsid w:val="006B53DD"/>
    <w:rsid w:val="006C2076"/>
    <w:rsid w:val="006C3AB9"/>
    <w:rsid w:val="006C414E"/>
    <w:rsid w:val="006D0A1D"/>
    <w:rsid w:val="006D2983"/>
    <w:rsid w:val="006D3A94"/>
    <w:rsid w:val="006D3C26"/>
    <w:rsid w:val="006D59A9"/>
    <w:rsid w:val="006D5E2B"/>
    <w:rsid w:val="006D7767"/>
    <w:rsid w:val="006E6922"/>
    <w:rsid w:val="006F04E0"/>
    <w:rsid w:val="006F293B"/>
    <w:rsid w:val="006F3887"/>
    <w:rsid w:val="006F3C5B"/>
    <w:rsid w:val="006F6C5B"/>
    <w:rsid w:val="006F7FA3"/>
    <w:rsid w:val="0071261E"/>
    <w:rsid w:val="00714CBF"/>
    <w:rsid w:val="00721077"/>
    <w:rsid w:val="007220B1"/>
    <w:rsid w:val="00724532"/>
    <w:rsid w:val="007259D1"/>
    <w:rsid w:val="007314B5"/>
    <w:rsid w:val="00734994"/>
    <w:rsid w:val="00735E67"/>
    <w:rsid w:val="0073665F"/>
    <w:rsid w:val="00740875"/>
    <w:rsid w:val="0074087F"/>
    <w:rsid w:val="00742234"/>
    <w:rsid w:val="00742CB2"/>
    <w:rsid w:val="0074382E"/>
    <w:rsid w:val="00743B95"/>
    <w:rsid w:val="007451D6"/>
    <w:rsid w:val="00746655"/>
    <w:rsid w:val="00750FA0"/>
    <w:rsid w:val="00752708"/>
    <w:rsid w:val="00753ABE"/>
    <w:rsid w:val="00755DC7"/>
    <w:rsid w:val="00760837"/>
    <w:rsid w:val="0076172C"/>
    <w:rsid w:val="00765D4B"/>
    <w:rsid w:val="00766E62"/>
    <w:rsid w:val="007746DC"/>
    <w:rsid w:val="007758BD"/>
    <w:rsid w:val="007764DE"/>
    <w:rsid w:val="00780C7E"/>
    <w:rsid w:val="00784E1F"/>
    <w:rsid w:val="00784F05"/>
    <w:rsid w:val="0078550C"/>
    <w:rsid w:val="00786044"/>
    <w:rsid w:val="00790D88"/>
    <w:rsid w:val="0079546C"/>
    <w:rsid w:val="0079590D"/>
    <w:rsid w:val="00796489"/>
    <w:rsid w:val="00796A03"/>
    <w:rsid w:val="007A05C0"/>
    <w:rsid w:val="007A181A"/>
    <w:rsid w:val="007A218B"/>
    <w:rsid w:val="007A25B0"/>
    <w:rsid w:val="007B0634"/>
    <w:rsid w:val="007B06D7"/>
    <w:rsid w:val="007B1533"/>
    <w:rsid w:val="007B15EE"/>
    <w:rsid w:val="007B27E7"/>
    <w:rsid w:val="007B50B4"/>
    <w:rsid w:val="007B50C1"/>
    <w:rsid w:val="007C16F1"/>
    <w:rsid w:val="007C6355"/>
    <w:rsid w:val="007C6A76"/>
    <w:rsid w:val="007C76A4"/>
    <w:rsid w:val="007D068C"/>
    <w:rsid w:val="007D10F7"/>
    <w:rsid w:val="007D14F4"/>
    <w:rsid w:val="007D1EA4"/>
    <w:rsid w:val="007D399A"/>
    <w:rsid w:val="007D4B37"/>
    <w:rsid w:val="007D5084"/>
    <w:rsid w:val="007D75C9"/>
    <w:rsid w:val="007E2FF4"/>
    <w:rsid w:val="007F12F7"/>
    <w:rsid w:val="007F1B86"/>
    <w:rsid w:val="007F332D"/>
    <w:rsid w:val="007F3601"/>
    <w:rsid w:val="007F62C8"/>
    <w:rsid w:val="007F714F"/>
    <w:rsid w:val="00803371"/>
    <w:rsid w:val="00806452"/>
    <w:rsid w:val="00807350"/>
    <w:rsid w:val="00807BD7"/>
    <w:rsid w:val="00812005"/>
    <w:rsid w:val="0081559D"/>
    <w:rsid w:val="00815F7B"/>
    <w:rsid w:val="0082203D"/>
    <w:rsid w:val="00823DD6"/>
    <w:rsid w:val="008240EC"/>
    <w:rsid w:val="008245C8"/>
    <w:rsid w:val="00825897"/>
    <w:rsid w:val="0082606D"/>
    <w:rsid w:val="00834270"/>
    <w:rsid w:val="00835DB9"/>
    <w:rsid w:val="008361C5"/>
    <w:rsid w:val="00836F24"/>
    <w:rsid w:val="00837804"/>
    <w:rsid w:val="00842499"/>
    <w:rsid w:val="008444AE"/>
    <w:rsid w:val="00845646"/>
    <w:rsid w:val="00845CBD"/>
    <w:rsid w:val="0085004A"/>
    <w:rsid w:val="0085178B"/>
    <w:rsid w:val="008520C1"/>
    <w:rsid w:val="0085369F"/>
    <w:rsid w:val="00853A01"/>
    <w:rsid w:val="00853A18"/>
    <w:rsid w:val="008557B6"/>
    <w:rsid w:val="00855EFD"/>
    <w:rsid w:val="008572CA"/>
    <w:rsid w:val="00861B67"/>
    <w:rsid w:val="0086292D"/>
    <w:rsid w:val="00862C17"/>
    <w:rsid w:val="00862DE3"/>
    <w:rsid w:val="0086433C"/>
    <w:rsid w:val="00865558"/>
    <w:rsid w:val="00867322"/>
    <w:rsid w:val="00867491"/>
    <w:rsid w:val="00870E50"/>
    <w:rsid w:val="008710A3"/>
    <w:rsid w:val="00873614"/>
    <w:rsid w:val="00875180"/>
    <w:rsid w:val="008765AE"/>
    <w:rsid w:val="00876B86"/>
    <w:rsid w:val="008771EE"/>
    <w:rsid w:val="008864A7"/>
    <w:rsid w:val="00891D53"/>
    <w:rsid w:val="0089348A"/>
    <w:rsid w:val="00894015"/>
    <w:rsid w:val="00894A48"/>
    <w:rsid w:val="00894BE9"/>
    <w:rsid w:val="008A6E46"/>
    <w:rsid w:val="008B6154"/>
    <w:rsid w:val="008B6E16"/>
    <w:rsid w:val="008C0047"/>
    <w:rsid w:val="008C35D8"/>
    <w:rsid w:val="008C752C"/>
    <w:rsid w:val="008E0157"/>
    <w:rsid w:val="008E64AA"/>
    <w:rsid w:val="008F0FB1"/>
    <w:rsid w:val="008F2130"/>
    <w:rsid w:val="008F2A0D"/>
    <w:rsid w:val="008F5F92"/>
    <w:rsid w:val="008F645E"/>
    <w:rsid w:val="008F68CB"/>
    <w:rsid w:val="00900CBD"/>
    <w:rsid w:val="00900DB2"/>
    <w:rsid w:val="00903E83"/>
    <w:rsid w:val="00913BCE"/>
    <w:rsid w:val="0091501B"/>
    <w:rsid w:val="0091701C"/>
    <w:rsid w:val="0091746A"/>
    <w:rsid w:val="00920334"/>
    <w:rsid w:val="009227B6"/>
    <w:rsid w:val="009230C9"/>
    <w:rsid w:val="00923490"/>
    <w:rsid w:val="0092721A"/>
    <w:rsid w:val="00927C43"/>
    <w:rsid w:val="00930FF9"/>
    <w:rsid w:val="0093162A"/>
    <w:rsid w:val="00934418"/>
    <w:rsid w:val="00935C91"/>
    <w:rsid w:val="0093797A"/>
    <w:rsid w:val="00937D4F"/>
    <w:rsid w:val="00940401"/>
    <w:rsid w:val="00946331"/>
    <w:rsid w:val="00950032"/>
    <w:rsid w:val="0095007C"/>
    <w:rsid w:val="0095062D"/>
    <w:rsid w:val="00951913"/>
    <w:rsid w:val="0096059E"/>
    <w:rsid w:val="00961588"/>
    <w:rsid w:val="009651D0"/>
    <w:rsid w:val="00970788"/>
    <w:rsid w:val="00971120"/>
    <w:rsid w:val="00971D38"/>
    <w:rsid w:val="00973137"/>
    <w:rsid w:val="00973895"/>
    <w:rsid w:val="00973D8C"/>
    <w:rsid w:val="00977FA6"/>
    <w:rsid w:val="00982224"/>
    <w:rsid w:val="00983C9D"/>
    <w:rsid w:val="009840EB"/>
    <w:rsid w:val="0098536E"/>
    <w:rsid w:val="009873B2"/>
    <w:rsid w:val="00987C87"/>
    <w:rsid w:val="009900BF"/>
    <w:rsid w:val="00991B78"/>
    <w:rsid w:val="00997F0F"/>
    <w:rsid w:val="009A61BD"/>
    <w:rsid w:val="009B178F"/>
    <w:rsid w:val="009B65ED"/>
    <w:rsid w:val="009B6704"/>
    <w:rsid w:val="009B72FF"/>
    <w:rsid w:val="009B75F2"/>
    <w:rsid w:val="009C0D3A"/>
    <w:rsid w:val="009C43ED"/>
    <w:rsid w:val="009C46DD"/>
    <w:rsid w:val="009D1ABE"/>
    <w:rsid w:val="009D2695"/>
    <w:rsid w:val="009D38AA"/>
    <w:rsid w:val="009D549B"/>
    <w:rsid w:val="009D6B6B"/>
    <w:rsid w:val="009D6CAE"/>
    <w:rsid w:val="009D75C0"/>
    <w:rsid w:val="009D7EC3"/>
    <w:rsid w:val="009E2594"/>
    <w:rsid w:val="009E38EC"/>
    <w:rsid w:val="009F2EE0"/>
    <w:rsid w:val="009F3956"/>
    <w:rsid w:val="009F3D8F"/>
    <w:rsid w:val="009F490C"/>
    <w:rsid w:val="009F6D7C"/>
    <w:rsid w:val="00A02297"/>
    <w:rsid w:val="00A03AAE"/>
    <w:rsid w:val="00A04054"/>
    <w:rsid w:val="00A11148"/>
    <w:rsid w:val="00A11BD6"/>
    <w:rsid w:val="00A11CB2"/>
    <w:rsid w:val="00A13EC3"/>
    <w:rsid w:val="00A152C8"/>
    <w:rsid w:val="00A15BE9"/>
    <w:rsid w:val="00A16F95"/>
    <w:rsid w:val="00A20F32"/>
    <w:rsid w:val="00A22BA7"/>
    <w:rsid w:val="00A23FC1"/>
    <w:rsid w:val="00A26DD3"/>
    <w:rsid w:val="00A2703D"/>
    <w:rsid w:val="00A30347"/>
    <w:rsid w:val="00A335A2"/>
    <w:rsid w:val="00A35682"/>
    <w:rsid w:val="00A35A9C"/>
    <w:rsid w:val="00A35F5D"/>
    <w:rsid w:val="00A36616"/>
    <w:rsid w:val="00A4498D"/>
    <w:rsid w:val="00A46F2E"/>
    <w:rsid w:val="00A50F76"/>
    <w:rsid w:val="00A51C06"/>
    <w:rsid w:val="00A53923"/>
    <w:rsid w:val="00A53971"/>
    <w:rsid w:val="00A60745"/>
    <w:rsid w:val="00A60CEA"/>
    <w:rsid w:val="00A63B67"/>
    <w:rsid w:val="00A6407F"/>
    <w:rsid w:val="00A65930"/>
    <w:rsid w:val="00A66545"/>
    <w:rsid w:val="00A66995"/>
    <w:rsid w:val="00A71FBE"/>
    <w:rsid w:val="00A73153"/>
    <w:rsid w:val="00A73DB8"/>
    <w:rsid w:val="00A75AF4"/>
    <w:rsid w:val="00A75C1D"/>
    <w:rsid w:val="00A779C5"/>
    <w:rsid w:val="00A77A50"/>
    <w:rsid w:val="00A813E2"/>
    <w:rsid w:val="00A82DE4"/>
    <w:rsid w:val="00A86154"/>
    <w:rsid w:val="00A87FEA"/>
    <w:rsid w:val="00A91746"/>
    <w:rsid w:val="00A91D33"/>
    <w:rsid w:val="00A96B81"/>
    <w:rsid w:val="00A97731"/>
    <w:rsid w:val="00AA046F"/>
    <w:rsid w:val="00AA2221"/>
    <w:rsid w:val="00AA635B"/>
    <w:rsid w:val="00AB34FB"/>
    <w:rsid w:val="00AB5293"/>
    <w:rsid w:val="00AB7782"/>
    <w:rsid w:val="00AC0093"/>
    <w:rsid w:val="00AC00F0"/>
    <w:rsid w:val="00AC2F17"/>
    <w:rsid w:val="00AC4B2A"/>
    <w:rsid w:val="00AC4D6C"/>
    <w:rsid w:val="00AC798D"/>
    <w:rsid w:val="00AD24C5"/>
    <w:rsid w:val="00AD24D3"/>
    <w:rsid w:val="00AD46CC"/>
    <w:rsid w:val="00AD7770"/>
    <w:rsid w:val="00AE0085"/>
    <w:rsid w:val="00AE0786"/>
    <w:rsid w:val="00AE084D"/>
    <w:rsid w:val="00AE2FE8"/>
    <w:rsid w:val="00AE62EA"/>
    <w:rsid w:val="00AE6AD8"/>
    <w:rsid w:val="00AF0B7F"/>
    <w:rsid w:val="00AF0D14"/>
    <w:rsid w:val="00AF191C"/>
    <w:rsid w:val="00AF665B"/>
    <w:rsid w:val="00AF71B3"/>
    <w:rsid w:val="00B0141A"/>
    <w:rsid w:val="00B014F9"/>
    <w:rsid w:val="00B01636"/>
    <w:rsid w:val="00B02142"/>
    <w:rsid w:val="00B02FF8"/>
    <w:rsid w:val="00B07C82"/>
    <w:rsid w:val="00B102CB"/>
    <w:rsid w:val="00B10764"/>
    <w:rsid w:val="00B17191"/>
    <w:rsid w:val="00B17689"/>
    <w:rsid w:val="00B234C7"/>
    <w:rsid w:val="00B240CD"/>
    <w:rsid w:val="00B249A5"/>
    <w:rsid w:val="00B26103"/>
    <w:rsid w:val="00B302DD"/>
    <w:rsid w:val="00B32832"/>
    <w:rsid w:val="00B33799"/>
    <w:rsid w:val="00B37358"/>
    <w:rsid w:val="00B37A6D"/>
    <w:rsid w:val="00B41775"/>
    <w:rsid w:val="00B46385"/>
    <w:rsid w:val="00B47DC1"/>
    <w:rsid w:val="00B50294"/>
    <w:rsid w:val="00B519CC"/>
    <w:rsid w:val="00B5699F"/>
    <w:rsid w:val="00B56F1A"/>
    <w:rsid w:val="00B63C5B"/>
    <w:rsid w:val="00B6410E"/>
    <w:rsid w:val="00B642D6"/>
    <w:rsid w:val="00B67480"/>
    <w:rsid w:val="00B67B60"/>
    <w:rsid w:val="00B70C31"/>
    <w:rsid w:val="00B71B76"/>
    <w:rsid w:val="00B73A23"/>
    <w:rsid w:val="00B74231"/>
    <w:rsid w:val="00B7533E"/>
    <w:rsid w:val="00B76321"/>
    <w:rsid w:val="00B76BAA"/>
    <w:rsid w:val="00B80CBD"/>
    <w:rsid w:val="00B81766"/>
    <w:rsid w:val="00B81BAF"/>
    <w:rsid w:val="00B81EAA"/>
    <w:rsid w:val="00B83F48"/>
    <w:rsid w:val="00B85639"/>
    <w:rsid w:val="00B86691"/>
    <w:rsid w:val="00B90AA2"/>
    <w:rsid w:val="00BA0430"/>
    <w:rsid w:val="00BA1C09"/>
    <w:rsid w:val="00BA2AD9"/>
    <w:rsid w:val="00BA322F"/>
    <w:rsid w:val="00BA4A8F"/>
    <w:rsid w:val="00BB014A"/>
    <w:rsid w:val="00BB0E75"/>
    <w:rsid w:val="00BB3E74"/>
    <w:rsid w:val="00BB5CED"/>
    <w:rsid w:val="00BC32EF"/>
    <w:rsid w:val="00BC376D"/>
    <w:rsid w:val="00BC41D4"/>
    <w:rsid w:val="00BD24A6"/>
    <w:rsid w:val="00BD348D"/>
    <w:rsid w:val="00BD7EDF"/>
    <w:rsid w:val="00BE26AE"/>
    <w:rsid w:val="00BE333A"/>
    <w:rsid w:val="00BE4388"/>
    <w:rsid w:val="00BE476E"/>
    <w:rsid w:val="00BE736D"/>
    <w:rsid w:val="00BE7BAC"/>
    <w:rsid w:val="00BF2929"/>
    <w:rsid w:val="00BF33A3"/>
    <w:rsid w:val="00BF365D"/>
    <w:rsid w:val="00BF3C65"/>
    <w:rsid w:val="00BF3D1C"/>
    <w:rsid w:val="00BF47F5"/>
    <w:rsid w:val="00BF7C91"/>
    <w:rsid w:val="00C00DD0"/>
    <w:rsid w:val="00C01FB9"/>
    <w:rsid w:val="00C0359C"/>
    <w:rsid w:val="00C03DBD"/>
    <w:rsid w:val="00C04239"/>
    <w:rsid w:val="00C05BA6"/>
    <w:rsid w:val="00C07ED2"/>
    <w:rsid w:val="00C1315F"/>
    <w:rsid w:val="00C13B62"/>
    <w:rsid w:val="00C1468E"/>
    <w:rsid w:val="00C14AC8"/>
    <w:rsid w:val="00C14B75"/>
    <w:rsid w:val="00C15303"/>
    <w:rsid w:val="00C15874"/>
    <w:rsid w:val="00C15C0F"/>
    <w:rsid w:val="00C16530"/>
    <w:rsid w:val="00C17A52"/>
    <w:rsid w:val="00C23C97"/>
    <w:rsid w:val="00C266A3"/>
    <w:rsid w:val="00C302A4"/>
    <w:rsid w:val="00C30898"/>
    <w:rsid w:val="00C40CE3"/>
    <w:rsid w:val="00C43812"/>
    <w:rsid w:val="00C43C95"/>
    <w:rsid w:val="00C44CC4"/>
    <w:rsid w:val="00C54397"/>
    <w:rsid w:val="00C5628B"/>
    <w:rsid w:val="00C563A0"/>
    <w:rsid w:val="00C56AB7"/>
    <w:rsid w:val="00C56FD8"/>
    <w:rsid w:val="00C57244"/>
    <w:rsid w:val="00C61DF6"/>
    <w:rsid w:val="00C64693"/>
    <w:rsid w:val="00C646D8"/>
    <w:rsid w:val="00C64CC9"/>
    <w:rsid w:val="00C65C8A"/>
    <w:rsid w:val="00C736F4"/>
    <w:rsid w:val="00C80045"/>
    <w:rsid w:val="00C81B33"/>
    <w:rsid w:val="00C82B9F"/>
    <w:rsid w:val="00C84D58"/>
    <w:rsid w:val="00C86094"/>
    <w:rsid w:val="00C865D1"/>
    <w:rsid w:val="00C9117D"/>
    <w:rsid w:val="00C934D0"/>
    <w:rsid w:val="00C96523"/>
    <w:rsid w:val="00C969B2"/>
    <w:rsid w:val="00CA285C"/>
    <w:rsid w:val="00CA2AE8"/>
    <w:rsid w:val="00CA515C"/>
    <w:rsid w:val="00CB0876"/>
    <w:rsid w:val="00CB0C08"/>
    <w:rsid w:val="00CB185A"/>
    <w:rsid w:val="00CB49CC"/>
    <w:rsid w:val="00CB5F0F"/>
    <w:rsid w:val="00CD0DE8"/>
    <w:rsid w:val="00CD37E5"/>
    <w:rsid w:val="00CD47CE"/>
    <w:rsid w:val="00CD7117"/>
    <w:rsid w:val="00CE1CA5"/>
    <w:rsid w:val="00CE37E0"/>
    <w:rsid w:val="00CE55C2"/>
    <w:rsid w:val="00CE7F2F"/>
    <w:rsid w:val="00CF340C"/>
    <w:rsid w:val="00CF4F4D"/>
    <w:rsid w:val="00CF5ACB"/>
    <w:rsid w:val="00D00E5B"/>
    <w:rsid w:val="00D00F15"/>
    <w:rsid w:val="00D04608"/>
    <w:rsid w:val="00D04CA9"/>
    <w:rsid w:val="00D171A9"/>
    <w:rsid w:val="00D20763"/>
    <w:rsid w:val="00D20B33"/>
    <w:rsid w:val="00D20C3B"/>
    <w:rsid w:val="00D21F81"/>
    <w:rsid w:val="00D22719"/>
    <w:rsid w:val="00D22F11"/>
    <w:rsid w:val="00D258DF"/>
    <w:rsid w:val="00D25C77"/>
    <w:rsid w:val="00D317F4"/>
    <w:rsid w:val="00D34C8D"/>
    <w:rsid w:val="00D404A7"/>
    <w:rsid w:val="00D43C57"/>
    <w:rsid w:val="00D43F41"/>
    <w:rsid w:val="00D46E83"/>
    <w:rsid w:val="00D47DE2"/>
    <w:rsid w:val="00D52D0C"/>
    <w:rsid w:val="00D53C61"/>
    <w:rsid w:val="00D57B3E"/>
    <w:rsid w:val="00D57BC9"/>
    <w:rsid w:val="00D624A4"/>
    <w:rsid w:val="00D639B1"/>
    <w:rsid w:val="00D660FD"/>
    <w:rsid w:val="00D702E6"/>
    <w:rsid w:val="00D724AE"/>
    <w:rsid w:val="00D727B0"/>
    <w:rsid w:val="00D73591"/>
    <w:rsid w:val="00D73613"/>
    <w:rsid w:val="00D80B22"/>
    <w:rsid w:val="00D82511"/>
    <w:rsid w:val="00D8473E"/>
    <w:rsid w:val="00D86921"/>
    <w:rsid w:val="00D91E04"/>
    <w:rsid w:val="00D9276B"/>
    <w:rsid w:val="00D93781"/>
    <w:rsid w:val="00D9526B"/>
    <w:rsid w:val="00DB1E1A"/>
    <w:rsid w:val="00DB26BF"/>
    <w:rsid w:val="00DB5F5F"/>
    <w:rsid w:val="00DC0EE1"/>
    <w:rsid w:val="00DC173E"/>
    <w:rsid w:val="00DC18E2"/>
    <w:rsid w:val="00DC219C"/>
    <w:rsid w:val="00DC3348"/>
    <w:rsid w:val="00DC33BF"/>
    <w:rsid w:val="00DC4F50"/>
    <w:rsid w:val="00DC6D57"/>
    <w:rsid w:val="00DD1119"/>
    <w:rsid w:val="00DD19DF"/>
    <w:rsid w:val="00DD334E"/>
    <w:rsid w:val="00DD3DEA"/>
    <w:rsid w:val="00DD5C85"/>
    <w:rsid w:val="00DD637A"/>
    <w:rsid w:val="00DE0779"/>
    <w:rsid w:val="00DE2D10"/>
    <w:rsid w:val="00DE2E30"/>
    <w:rsid w:val="00DE3322"/>
    <w:rsid w:val="00DE50CB"/>
    <w:rsid w:val="00DE5447"/>
    <w:rsid w:val="00DE6344"/>
    <w:rsid w:val="00DE7B94"/>
    <w:rsid w:val="00DF67D7"/>
    <w:rsid w:val="00DF6BBF"/>
    <w:rsid w:val="00DF796F"/>
    <w:rsid w:val="00DF7C8F"/>
    <w:rsid w:val="00E03615"/>
    <w:rsid w:val="00E04A06"/>
    <w:rsid w:val="00E05F40"/>
    <w:rsid w:val="00E07226"/>
    <w:rsid w:val="00E07B5D"/>
    <w:rsid w:val="00E1064E"/>
    <w:rsid w:val="00E1158B"/>
    <w:rsid w:val="00E12444"/>
    <w:rsid w:val="00E127FF"/>
    <w:rsid w:val="00E15796"/>
    <w:rsid w:val="00E16BFC"/>
    <w:rsid w:val="00E2072C"/>
    <w:rsid w:val="00E20EB4"/>
    <w:rsid w:val="00E2125B"/>
    <w:rsid w:val="00E22F4C"/>
    <w:rsid w:val="00E3076F"/>
    <w:rsid w:val="00E3520C"/>
    <w:rsid w:val="00E35B3B"/>
    <w:rsid w:val="00E42B23"/>
    <w:rsid w:val="00E449D9"/>
    <w:rsid w:val="00E4502A"/>
    <w:rsid w:val="00E51AB8"/>
    <w:rsid w:val="00E548B1"/>
    <w:rsid w:val="00E55192"/>
    <w:rsid w:val="00E56712"/>
    <w:rsid w:val="00E56E38"/>
    <w:rsid w:val="00E63161"/>
    <w:rsid w:val="00E6774C"/>
    <w:rsid w:val="00E74F7B"/>
    <w:rsid w:val="00E76581"/>
    <w:rsid w:val="00E77B19"/>
    <w:rsid w:val="00E84180"/>
    <w:rsid w:val="00E84AE3"/>
    <w:rsid w:val="00E862D9"/>
    <w:rsid w:val="00E86B20"/>
    <w:rsid w:val="00E91D46"/>
    <w:rsid w:val="00E93B5E"/>
    <w:rsid w:val="00E93CD6"/>
    <w:rsid w:val="00E9511D"/>
    <w:rsid w:val="00E95F87"/>
    <w:rsid w:val="00E96522"/>
    <w:rsid w:val="00E96FEB"/>
    <w:rsid w:val="00EA075F"/>
    <w:rsid w:val="00EA0A6F"/>
    <w:rsid w:val="00EA0B8A"/>
    <w:rsid w:val="00EA4F0F"/>
    <w:rsid w:val="00EA675D"/>
    <w:rsid w:val="00EA6E3A"/>
    <w:rsid w:val="00EB11F5"/>
    <w:rsid w:val="00EB225F"/>
    <w:rsid w:val="00EB335F"/>
    <w:rsid w:val="00EB507D"/>
    <w:rsid w:val="00EB53C2"/>
    <w:rsid w:val="00EB6083"/>
    <w:rsid w:val="00EB66F5"/>
    <w:rsid w:val="00EB6912"/>
    <w:rsid w:val="00EC1689"/>
    <w:rsid w:val="00EC2460"/>
    <w:rsid w:val="00EC2925"/>
    <w:rsid w:val="00EC4A5F"/>
    <w:rsid w:val="00EC5045"/>
    <w:rsid w:val="00EC68A6"/>
    <w:rsid w:val="00ED08CC"/>
    <w:rsid w:val="00ED191C"/>
    <w:rsid w:val="00ED25E7"/>
    <w:rsid w:val="00ED2DD5"/>
    <w:rsid w:val="00ED44EE"/>
    <w:rsid w:val="00ED4A24"/>
    <w:rsid w:val="00ED7A4B"/>
    <w:rsid w:val="00EE0558"/>
    <w:rsid w:val="00EE2A19"/>
    <w:rsid w:val="00EE621A"/>
    <w:rsid w:val="00EE7348"/>
    <w:rsid w:val="00EF45A1"/>
    <w:rsid w:val="00EF66BB"/>
    <w:rsid w:val="00EF69D3"/>
    <w:rsid w:val="00F00138"/>
    <w:rsid w:val="00F0070A"/>
    <w:rsid w:val="00F022A5"/>
    <w:rsid w:val="00F03390"/>
    <w:rsid w:val="00F11608"/>
    <w:rsid w:val="00F13426"/>
    <w:rsid w:val="00F1482A"/>
    <w:rsid w:val="00F151C5"/>
    <w:rsid w:val="00F155AB"/>
    <w:rsid w:val="00F15611"/>
    <w:rsid w:val="00F20846"/>
    <w:rsid w:val="00F21AAF"/>
    <w:rsid w:val="00F26802"/>
    <w:rsid w:val="00F271F4"/>
    <w:rsid w:val="00F30493"/>
    <w:rsid w:val="00F33849"/>
    <w:rsid w:val="00F34600"/>
    <w:rsid w:val="00F36229"/>
    <w:rsid w:val="00F37F00"/>
    <w:rsid w:val="00F427F7"/>
    <w:rsid w:val="00F42A10"/>
    <w:rsid w:val="00F46670"/>
    <w:rsid w:val="00F51259"/>
    <w:rsid w:val="00F549C7"/>
    <w:rsid w:val="00F55901"/>
    <w:rsid w:val="00F57B7C"/>
    <w:rsid w:val="00F57EFC"/>
    <w:rsid w:val="00F57FFC"/>
    <w:rsid w:val="00F6196F"/>
    <w:rsid w:val="00F61E33"/>
    <w:rsid w:val="00F669C8"/>
    <w:rsid w:val="00F66BD3"/>
    <w:rsid w:val="00F7435B"/>
    <w:rsid w:val="00F76C9A"/>
    <w:rsid w:val="00F80E40"/>
    <w:rsid w:val="00F8310B"/>
    <w:rsid w:val="00F852AD"/>
    <w:rsid w:val="00F87281"/>
    <w:rsid w:val="00F87B10"/>
    <w:rsid w:val="00F9058F"/>
    <w:rsid w:val="00F91150"/>
    <w:rsid w:val="00F91B6A"/>
    <w:rsid w:val="00F91FA1"/>
    <w:rsid w:val="00F95EE5"/>
    <w:rsid w:val="00F96E3E"/>
    <w:rsid w:val="00FA0E2D"/>
    <w:rsid w:val="00FA6E0C"/>
    <w:rsid w:val="00FA77ED"/>
    <w:rsid w:val="00FB1C79"/>
    <w:rsid w:val="00FB2149"/>
    <w:rsid w:val="00FB224B"/>
    <w:rsid w:val="00FB32B5"/>
    <w:rsid w:val="00FB3DCC"/>
    <w:rsid w:val="00FB4D23"/>
    <w:rsid w:val="00FB5F95"/>
    <w:rsid w:val="00FB7084"/>
    <w:rsid w:val="00FD205F"/>
    <w:rsid w:val="00FD31F9"/>
    <w:rsid w:val="00FD3F3C"/>
    <w:rsid w:val="00FD72D6"/>
    <w:rsid w:val="00FE0B72"/>
    <w:rsid w:val="00FE3E2E"/>
    <w:rsid w:val="00FE676B"/>
    <w:rsid w:val="00FE6ADC"/>
    <w:rsid w:val="00FF078C"/>
    <w:rsid w:val="00FF1F53"/>
    <w:rsid w:val="00FF2936"/>
    <w:rsid w:val="00FF509A"/>
    <w:rsid w:val="00FF5138"/>
    <w:rsid w:val="00FF5B8D"/>
    <w:rsid w:val="00FF6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059932-AEDC-4F57-BE4A-9E618A0D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84"/>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D5084"/>
    <w:pPr>
      <w:ind w:right="57"/>
      <w:jc w:val="both"/>
    </w:pPr>
    <w:rPr>
      <w:rFonts w:eastAsia="標楷體"/>
      <w:sz w:val="28"/>
    </w:rPr>
  </w:style>
  <w:style w:type="character" w:customStyle="1" w:styleId="a4">
    <w:name w:val="本文 字元"/>
    <w:basedOn w:val="a0"/>
    <w:link w:val="a3"/>
    <w:semiHidden/>
    <w:rsid w:val="007D5084"/>
    <w:rPr>
      <w:rFonts w:ascii="Times New Roman" w:eastAsia="標楷體" w:hAnsi="Times New Roman" w:cs="Times New Roman"/>
      <w:sz w:val="28"/>
      <w:szCs w:val="20"/>
    </w:rPr>
  </w:style>
  <w:style w:type="paragraph" w:styleId="HTML">
    <w:name w:val="HTML Preformatted"/>
    <w:basedOn w:val="a"/>
    <w:link w:val="HTML0"/>
    <w:uiPriority w:val="99"/>
    <w:rsid w:val="007D5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customStyle="1" w:styleId="HTML0">
    <w:name w:val="HTML 預設格式 字元"/>
    <w:basedOn w:val="a0"/>
    <w:link w:val="HTML"/>
    <w:uiPriority w:val="99"/>
    <w:rsid w:val="007D5084"/>
    <w:rPr>
      <w:rFonts w:ascii="Arial Unicode MS" w:eastAsia="Arial Unicode MS" w:hAnsi="Arial Unicode MS" w:cs="Arial Unicode MS"/>
      <w:color w:val="333333"/>
      <w:kern w:val="0"/>
      <w:sz w:val="20"/>
      <w:szCs w:val="20"/>
    </w:rPr>
  </w:style>
  <w:style w:type="paragraph" w:styleId="a5">
    <w:name w:val="Body Text Indent"/>
    <w:basedOn w:val="a"/>
    <w:link w:val="a6"/>
    <w:semiHidden/>
    <w:rsid w:val="007D5084"/>
    <w:pPr>
      <w:ind w:right="57" w:firstLineChars="206" w:firstLine="577"/>
      <w:jc w:val="both"/>
    </w:pPr>
    <w:rPr>
      <w:rFonts w:eastAsia="標楷體"/>
      <w:sz w:val="28"/>
    </w:rPr>
  </w:style>
  <w:style w:type="character" w:customStyle="1" w:styleId="a6">
    <w:name w:val="本文縮排 字元"/>
    <w:basedOn w:val="a0"/>
    <w:link w:val="a5"/>
    <w:semiHidden/>
    <w:rsid w:val="007D5084"/>
    <w:rPr>
      <w:rFonts w:ascii="Times New Roman" w:eastAsia="標楷體" w:hAnsi="Times New Roman" w:cs="Times New Roman"/>
      <w:sz w:val="28"/>
      <w:szCs w:val="20"/>
    </w:rPr>
  </w:style>
  <w:style w:type="paragraph" w:styleId="3">
    <w:name w:val="Body Text Indent 3"/>
    <w:basedOn w:val="a"/>
    <w:link w:val="30"/>
    <w:semiHidden/>
    <w:rsid w:val="007D5084"/>
    <w:pPr>
      <w:adjustRightInd w:val="0"/>
      <w:snapToGrid w:val="0"/>
      <w:ind w:right="57" w:firstLineChars="205" w:firstLine="492"/>
      <w:jc w:val="both"/>
    </w:pPr>
    <w:rPr>
      <w:rFonts w:eastAsia="標楷體"/>
      <w:color w:val="000000"/>
      <w:kern w:val="0"/>
    </w:rPr>
  </w:style>
  <w:style w:type="character" w:customStyle="1" w:styleId="30">
    <w:name w:val="本文縮排 3 字元"/>
    <w:basedOn w:val="a0"/>
    <w:link w:val="3"/>
    <w:semiHidden/>
    <w:rsid w:val="007D5084"/>
    <w:rPr>
      <w:rFonts w:ascii="Times New Roman" w:eastAsia="標楷體" w:hAnsi="Times New Roman" w:cs="Times New Roman"/>
      <w:color w:val="000000"/>
      <w:kern w:val="0"/>
      <w:szCs w:val="20"/>
    </w:rPr>
  </w:style>
  <w:style w:type="character" w:styleId="a7">
    <w:name w:val="page number"/>
    <w:basedOn w:val="a0"/>
    <w:semiHidden/>
    <w:rsid w:val="007D5084"/>
  </w:style>
  <w:style w:type="paragraph" w:styleId="2">
    <w:name w:val="Body Text 2"/>
    <w:basedOn w:val="a"/>
    <w:link w:val="20"/>
    <w:semiHidden/>
    <w:rsid w:val="007D5084"/>
    <w:pPr>
      <w:snapToGrid w:val="0"/>
      <w:jc w:val="both"/>
    </w:pPr>
    <w:rPr>
      <w:rFonts w:eastAsia="標楷體"/>
      <w:snapToGrid w:val="0"/>
      <w:color w:val="000000"/>
      <w:kern w:val="0"/>
    </w:rPr>
  </w:style>
  <w:style w:type="character" w:customStyle="1" w:styleId="20">
    <w:name w:val="本文 2 字元"/>
    <w:basedOn w:val="a0"/>
    <w:link w:val="2"/>
    <w:semiHidden/>
    <w:rsid w:val="007D5084"/>
    <w:rPr>
      <w:rFonts w:ascii="Times New Roman" w:eastAsia="標楷體" w:hAnsi="Times New Roman" w:cs="Times New Roman"/>
      <w:snapToGrid w:val="0"/>
      <w:color w:val="000000"/>
      <w:kern w:val="0"/>
      <w:szCs w:val="20"/>
    </w:rPr>
  </w:style>
  <w:style w:type="paragraph" w:customStyle="1" w:styleId="a8">
    <w:name w:val="第一條(條)"/>
    <w:basedOn w:val="a"/>
    <w:rsid w:val="007D5084"/>
    <w:pPr>
      <w:spacing w:line="480" w:lineRule="exact"/>
      <w:ind w:left="500" w:hangingChars="500" w:hanging="500"/>
      <w:jc w:val="both"/>
    </w:pPr>
    <w:rPr>
      <w:rFonts w:eastAsia="華康楷書體W5"/>
      <w:sz w:val="28"/>
      <w:szCs w:val="24"/>
    </w:rPr>
  </w:style>
  <w:style w:type="paragraph" w:customStyle="1" w:styleId="a9">
    <w:name w:val="第一條、一、(款)"/>
    <w:basedOn w:val="a"/>
    <w:rsid w:val="007D5084"/>
    <w:pPr>
      <w:spacing w:line="480" w:lineRule="exact"/>
      <w:ind w:leftChars="700" w:left="900" w:hangingChars="200" w:hanging="200"/>
      <w:jc w:val="both"/>
    </w:pPr>
    <w:rPr>
      <w:rFonts w:eastAsia="華康楷書體W5"/>
      <w:sz w:val="28"/>
      <w:szCs w:val="24"/>
    </w:rPr>
  </w:style>
  <w:style w:type="paragraph" w:styleId="31">
    <w:name w:val="Body Text 3"/>
    <w:basedOn w:val="a"/>
    <w:link w:val="32"/>
    <w:semiHidden/>
    <w:rsid w:val="007D5084"/>
    <w:pPr>
      <w:jc w:val="both"/>
    </w:pPr>
    <w:rPr>
      <w:rFonts w:eastAsia="標楷體"/>
      <w:snapToGrid w:val="0"/>
      <w:szCs w:val="24"/>
    </w:rPr>
  </w:style>
  <w:style w:type="character" w:customStyle="1" w:styleId="32">
    <w:name w:val="本文 3 字元"/>
    <w:basedOn w:val="a0"/>
    <w:link w:val="31"/>
    <w:semiHidden/>
    <w:rsid w:val="007D5084"/>
    <w:rPr>
      <w:rFonts w:ascii="Times New Roman" w:eastAsia="標楷體" w:hAnsi="Times New Roman" w:cs="Times New Roman"/>
      <w:snapToGrid w:val="0"/>
      <w:szCs w:val="24"/>
    </w:rPr>
  </w:style>
  <w:style w:type="character" w:customStyle="1" w:styleId="tx1">
    <w:name w:val="tx1"/>
    <w:basedOn w:val="a0"/>
    <w:rsid w:val="007D5084"/>
    <w:rPr>
      <w:b/>
      <w:bCs/>
    </w:rPr>
  </w:style>
  <w:style w:type="paragraph" w:styleId="aa">
    <w:name w:val="header"/>
    <w:basedOn w:val="a"/>
    <w:link w:val="ab"/>
    <w:uiPriority w:val="99"/>
    <w:unhideWhenUsed/>
    <w:rsid w:val="004317DD"/>
    <w:pPr>
      <w:tabs>
        <w:tab w:val="center" w:pos="4153"/>
        <w:tab w:val="right" w:pos="8306"/>
      </w:tabs>
      <w:snapToGrid w:val="0"/>
    </w:pPr>
    <w:rPr>
      <w:sz w:val="20"/>
    </w:rPr>
  </w:style>
  <w:style w:type="character" w:customStyle="1" w:styleId="ab">
    <w:name w:val="頁首 字元"/>
    <w:basedOn w:val="a0"/>
    <w:link w:val="aa"/>
    <w:uiPriority w:val="99"/>
    <w:rsid w:val="004317DD"/>
    <w:rPr>
      <w:rFonts w:ascii="Times New Roman" w:hAnsi="Times New Roman"/>
      <w:kern w:val="2"/>
    </w:rPr>
  </w:style>
  <w:style w:type="paragraph" w:styleId="ac">
    <w:name w:val="footer"/>
    <w:basedOn w:val="a"/>
    <w:link w:val="ad"/>
    <w:uiPriority w:val="99"/>
    <w:unhideWhenUsed/>
    <w:rsid w:val="004317DD"/>
    <w:pPr>
      <w:tabs>
        <w:tab w:val="center" w:pos="4153"/>
        <w:tab w:val="right" w:pos="8306"/>
      </w:tabs>
      <w:snapToGrid w:val="0"/>
    </w:pPr>
    <w:rPr>
      <w:sz w:val="20"/>
    </w:rPr>
  </w:style>
  <w:style w:type="character" w:customStyle="1" w:styleId="ad">
    <w:name w:val="頁尾 字元"/>
    <w:basedOn w:val="a0"/>
    <w:link w:val="ac"/>
    <w:uiPriority w:val="99"/>
    <w:rsid w:val="004317DD"/>
    <w:rPr>
      <w:rFonts w:ascii="Times New Roman" w:hAnsi="Times New Roman"/>
      <w:kern w:val="2"/>
    </w:rPr>
  </w:style>
  <w:style w:type="paragraph" w:styleId="ae">
    <w:name w:val="List Paragraph"/>
    <w:basedOn w:val="a"/>
    <w:uiPriority w:val="34"/>
    <w:qFormat/>
    <w:rsid w:val="001B5FAE"/>
    <w:pPr>
      <w:ind w:leftChars="200" w:left="480"/>
    </w:pPr>
  </w:style>
  <w:style w:type="paragraph" w:styleId="af">
    <w:name w:val="Balloon Text"/>
    <w:basedOn w:val="a"/>
    <w:link w:val="af0"/>
    <w:uiPriority w:val="99"/>
    <w:semiHidden/>
    <w:unhideWhenUsed/>
    <w:rsid w:val="00B67B60"/>
    <w:rPr>
      <w:rFonts w:ascii="Cambria" w:hAnsi="Cambria"/>
      <w:sz w:val="18"/>
      <w:szCs w:val="18"/>
    </w:rPr>
  </w:style>
  <w:style w:type="character" w:customStyle="1" w:styleId="af0">
    <w:name w:val="註解方塊文字 字元"/>
    <w:basedOn w:val="a0"/>
    <w:link w:val="af"/>
    <w:uiPriority w:val="99"/>
    <w:semiHidden/>
    <w:rsid w:val="00B67B6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83356">
      <w:bodyDiv w:val="1"/>
      <w:marLeft w:val="0"/>
      <w:marRight w:val="0"/>
      <w:marTop w:val="0"/>
      <w:marBottom w:val="0"/>
      <w:divBdr>
        <w:top w:val="none" w:sz="0" w:space="0" w:color="auto"/>
        <w:left w:val="none" w:sz="0" w:space="0" w:color="auto"/>
        <w:bottom w:val="none" w:sz="0" w:space="0" w:color="auto"/>
        <w:right w:val="none" w:sz="0" w:space="0" w:color="auto"/>
      </w:divBdr>
      <w:divsChild>
        <w:div w:id="240602347">
          <w:marLeft w:val="0"/>
          <w:marRight w:val="0"/>
          <w:marTop w:val="0"/>
          <w:marBottom w:val="0"/>
          <w:divBdr>
            <w:top w:val="none" w:sz="0" w:space="0" w:color="auto"/>
            <w:left w:val="none" w:sz="0" w:space="0" w:color="auto"/>
            <w:bottom w:val="none" w:sz="0" w:space="0" w:color="auto"/>
            <w:right w:val="none" w:sz="0" w:space="0" w:color="auto"/>
          </w:divBdr>
          <w:divsChild>
            <w:div w:id="543441912">
              <w:marLeft w:val="0"/>
              <w:marRight w:val="0"/>
              <w:marTop w:val="0"/>
              <w:marBottom w:val="0"/>
              <w:divBdr>
                <w:top w:val="none" w:sz="0" w:space="0" w:color="auto"/>
                <w:left w:val="none" w:sz="0" w:space="0" w:color="auto"/>
                <w:bottom w:val="none" w:sz="0" w:space="0" w:color="auto"/>
                <w:right w:val="none" w:sz="0" w:space="0" w:color="auto"/>
              </w:divBdr>
              <w:divsChild>
                <w:div w:id="1951543617">
                  <w:marLeft w:val="0"/>
                  <w:marRight w:val="0"/>
                  <w:marTop w:val="0"/>
                  <w:marBottom w:val="0"/>
                  <w:divBdr>
                    <w:top w:val="none" w:sz="0" w:space="0" w:color="auto"/>
                    <w:left w:val="none" w:sz="0" w:space="0" w:color="auto"/>
                    <w:bottom w:val="none" w:sz="0" w:space="0" w:color="auto"/>
                    <w:right w:val="none" w:sz="0" w:space="0" w:color="auto"/>
                  </w:divBdr>
                  <w:divsChild>
                    <w:div w:id="671101318">
                      <w:marLeft w:val="0"/>
                      <w:marRight w:val="0"/>
                      <w:marTop w:val="0"/>
                      <w:marBottom w:val="0"/>
                      <w:divBdr>
                        <w:top w:val="none" w:sz="0" w:space="0" w:color="auto"/>
                        <w:left w:val="none" w:sz="0" w:space="0" w:color="auto"/>
                        <w:bottom w:val="none" w:sz="0" w:space="0" w:color="auto"/>
                        <w:right w:val="none" w:sz="0" w:space="0" w:color="auto"/>
                      </w:divBdr>
                      <w:divsChild>
                        <w:div w:id="569389581">
                          <w:marLeft w:val="0"/>
                          <w:marRight w:val="0"/>
                          <w:marTop w:val="0"/>
                          <w:marBottom w:val="0"/>
                          <w:divBdr>
                            <w:top w:val="none" w:sz="0" w:space="0" w:color="auto"/>
                            <w:left w:val="none" w:sz="0" w:space="0" w:color="auto"/>
                            <w:bottom w:val="none" w:sz="0" w:space="0" w:color="auto"/>
                            <w:right w:val="none" w:sz="0" w:space="0" w:color="auto"/>
                          </w:divBdr>
                          <w:divsChild>
                            <w:div w:id="549539910">
                              <w:marLeft w:val="0"/>
                              <w:marRight w:val="0"/>
                              <w:marTop w:val="0"/>
                              <w:marBottom w:val="0"/>
                              <w:divBdr>
                                <w:top w:val="none" w:sz="0" w:space="0" w:color="auto"/>
                                <w:left w:val="none" w:sz="0" w:space="0" w:color="auto"/>
                                <w:bottom w:val="none" w:sz="0" w:space="0" w:color="auto"/>
                                <w:right w:val="none" w:sz="0" w:space="0" w:color="auto"/>
                              </w:divBdr>
                              <w:divsChild>
                                <w:div w:id="1862625755">
                                  <w:marLeft w:val="0"/>
                                  <w:marRight w:val="0"/>
                                  <w:marTop w:val="0"/>
                                  <w:marBottom w:val="0"/>
                                  <w:divBdr>
                                    <w:top w:val="none" w:sz="0" w:space="0" w:color="auto"/>
                                    <w:left w:val="none" w:sz="0" w:space="0" w:color="auto"/>
                                    <w:bottom w:val="none" w:sz="0" w:space="0" w:color="auto"/>
                                    <w:right w:val="none" w:sz="0" w:space="0" w:color="auto"/>
                                  </w:divBdr>
                                  <w:divsChild>
                                    <w:div w:id="1144587954">
                                      <w:marLeft w:val="0"/>
                                      <w:marRight w:val="0"/>
                                      <w:marTop w:val="0"/>
                                      <w:marBottom w:val="0"/>
                                      <w:divBdr>
                                        <w:top w:val="none" w:sz="0" w:space="0" w:color="auto"/>
                                        <w:left w:val="none" w:sz="0" w:space="0" w:color="auto"/>
                                        <w:bottom w:val="none" w:sz="0" w:space="0" w:color="auto"/>
                                        <w:right w:val="none" w:sz="0" w:space="0" w:color="auto"/>
                                      </w:divBdr>
                                      <w:divsChild>
                                        <w:div w:id="171604488">
                                          <w:marLeft w:val="0"/>
                                          <w:marRight w:val="0"/>
                                          <w:marTop w:val="0"/>
                                          <w:marBottom w:val="0"/>
                                          <w:divBdr>
                                            <w:top w:val="none" w:sz="0" w:space="0" w:color="auto"/>
                                            <w:left w:val="none" w:sz="0" w:space="0" w:color="auto"/>
                                            <w:bottom w:val="none" w:sz="0" w:space="0" w:color="auto"/>
                                            <w:right w:val="none" w:sz="0" w:space="0" w:color="auto"/>
                                          </w:divBdr>
                                          <w:divsChild>
                                            <w:div w:id="132913170">
                                              <w:marLeft w:val="-270"/>
                                              <w:marRight w:val="0"/>
                                              <w:marTop w:val="0"/>
                                              <w:marBottom w:val="0"/>
                                              <w:divBdr>
                                                <w:top w:val="none" w:sz="0" w:space="0" w:color="auto"/>
                                                <w:left w:val="none" w:sz="0" w:space="0" w:color="auto"/>
                                                <w:bottom w:val="none" w:sz="0" w:space="0" w:color="auto"/>
                                                <w:right w:val="none" w:sz="0" w:space="0" w:color="auto"/>
                                              </w:divBdr>
                                              <w:divsChild>
                                                <w:div w:id="704477956">
                                                  <w:marLeft w:val="0"/>
                                                  <w:marRight w:val="0"/>
                                                  <w:marTop w:val="0"/>
                                                  <w:marBottom w:val="0"/>
                                                  <w:divBdr>
                                                    <w:top w:val="none" w:sz="0" w:space="0" w:color="auto"/>
                                                    <w:left w:val="none" w:sz="0" w:space="0" w:color="auto"/>
                                                    <w:bottom w:val="none" w:sz="0" w:space="0" w:color="auto"/>
                                                    <w:right w:val="none" w:sz="0" w:space="0" w:color="auto"/>
                                                  </w:divBdr>
                                                  <w:divsChild>
                                                    <w:div w:id="16739096">
                                                      <w:marLeft w:val="0"/>
                                                      <w:marRight w:val="0"/>
                                                      <w:marTop w:val="0"/>
                                                      <w:marBottom w:val="0"/>
                                                      <w:divBdr>
                                                        <w:top w:val="none" w:sz="0" w:space="0" w:color="auto"/>
                                                        <w:left w:val="none" w:sz="0" w:space="0" w:color="auto"/>
                                                        <w:bottom w:val="none" w:sz="0" w:space="0" w:color="auto"/>
                                                        <w:right w:val="none" w:sz="0" w:space="0" w:color="auto"/>
                                                      </w:divBdr>
                                                      <w:divsChild>
                                                        <w:div w:id="810561352">
                                                          <w:marLeft w:val="0"/>
                                                          <w:marRight w:val="0"/>
                                                          <w:marTop w:val="0"/>
                                                          <w:marBottom w:val="0"/>
                                                          <w:divBdr>
                                                            <w:top w:val="none" w:sz="0" w:space="0" w:color="auto"/>
                                                            <w:left w:val="none" w:sz="0" w:space="0" w:color="auto"/>
                                                            <w:bottom w:val="none" w:sz="0" w:space="0" w:color="auto"/>
                                                            <w:right w:val="none" w:sz="0" w:space="0" w:color="auto"/>
                                                          </w:divBdr>
                                                          <w:divsChild>
                                                            <w:div w:id="780420452">
                                                              <w:marLeft w:val="0"/>
                                                              <w:marRight w:val="0"/>
                                                              <w:marTop w:val="0"/>
                                                              <w:marBottom w:val="0"/>
                                                              <w:divBdr>
                                                                <w:top w:val="none" w:sz="0" w:space="0" w:color="auto"/>
                                                                <w:left w:val="none" w:sz="0" w:space="0" w:color="auto"/>
                                                                <w:bottom w:val="none" w:sz="0" w:space="0" w:color="auto"/>
                                                                <w:right w:val="none" w:sz="0" w:space="0" w:color="auto"/>
                                                              </w:divBdr>
                                                              <w:divsChild>
                                                                <w:div w:id="205527400">
                                                                  <w:marLeft w:val="0"/>
                                                                  <w:marRight w:val="0"/>
                                                                  <w:marTop w:val="0"/>
                                                                  <w:marBottom w:val="0"/>
                                                                  <w:divBdr>
                                                                    <w:top w:val="none" w:sz="0" w:space="0" w:color="auto"/>
                                                                    <w:left w:val="none" w:sz="0" w:space="0" w:color="auto"/>
                                                                    <w:bottom w:val="none" w:sz="0" w:space="0" w:color="auto"/>
                                                                    <w:right w:val="none" w:sz="0" w:space="0" w:color="auto"/>
                                                                  </w:divBdr>
                                                                  <w:divsChild>
                                                                    <w:div w:id="1103303131">
                                                                      <w:marLeft w:val="0"/>
                                                                      <w:marRight w:val="0"/>
                                                                      <w:marTop w:val="0"/>
                                                                      <w:marBottom w:val="0"/>
                                                                      <w:divBdr>
                                                                        <w:top w:val="none" w:sz="0" w:space="0" w:color="auto"/>
                                                                        <w:left w:val="none" w:sz="0" w:space="0" w:color="auto"/>
                                                                        <w:bottom w:val="none" w:sz="0" w:space="0" w:color="auto"/>
                                                                        <w:right w:val="none" w:sz="0" w:space="0" w:color="auto"/>
                                                                      </w:divBdr>
                                                                      <w:divsChild>
                                                                        <w:div w:id="1422490434">
                                                                          <w:marLeft w:val="0"/>
                                                                          <w:marRight w:val="0"/>
                                                                          <w:marTop w:val="0"/>
                                                                          <w:marBottom w:val="0"/>
                                                                          <w:divBdr>
                                                                            <w:top w:val="none" w:sz="0" w:space="0" w:color="auto"/>
                                                                            <w:left w:val="none" w:sz="0" w:space="0" w:color="auto"/>
                                                                            <w:bottom w:val="none" w:sz="0" w:space="0" w:color="auto"/>
                                                                            <w:right w:val="none" w:sz="0" w:space="0" w:color="auto"/>
                                                                          </w:divBdr>
                                                                          <w:divsChild>
                                                                            <w:div w:id="1488933028">
                                                                              <w:marLeft w:val="0"/>
                                                                              <w:marRight w:val="0"/>
                                                                              <w:marTop w:val="0"/>
                                                                              <w:marBottom w:val="0"/>
                                                                              <w:divBdr>
                                                                                <w:top w:val="none" w:sz="0" w:space="0" w:color="auto"/>
                                                                                <w:left w:val="none" w:sz="0" w:space="0" w:color="auto"/>
                                                                                <w:bottom w:val="none" w:sz="0" w:space="0" w:color="auto"/>
                                                                                <w:right w:val="none" w:sz="0" w:space="0" w:color="auto"/>
                                                                              </w:divBdr>
                                                                              <w:divsChild>
                                                                                <w:div w:id="2047750463">
                                                                                  <w:marLeft w:val="0"/>
                                                                                  <w:marRight w:val="0"/>
                                                                                  <w:marTop w:val="0"/>
                                                                                  <w:marBottom w:val="0"/>
                                                                                  <w:divBdr>
                                                                                    <w:top w:val="none" w:sz="0" w:space="0" w:color="auto"/>
                                                                                    <w:left w:val="none" w:sz="0" w:space="0" w:color="auto"/>
                                                                                    <w:bottom w:val="none" w:sz="0" w:space="0" w:color="auto"/>
                                                                                    <w:right w:val="none" w:sz="0" w:space="0" w:color="auto"/>
                                                                                  </w:divBdr>
                                                                                  <w:divsChild>
                                                                                    <w:div w:id="636644946">
                                                                                      <w:marLeft w:val="0"/>
                                                                                      <w:marRight w:val="0"/>
                                                                                      <w:marTop w:val="0"/>
                                                                                      <w:marBottom w:val="0"/>
                                                                                      <w:divBdr>
                                                                                        <w:top w:val="none" w:sz="0" w:space="0" w:color="auto"/>
                                                                                        <w:left w:val="none" w:sz="0" w:space="0" w:color="auto"/>
                                                                                        <w:bottom w:val="none" w:sz="0" w:space="0" w:color="auto"/>
                                                                                        <w:right w:val="none" w:sz="0" w:space="0" w:color="auto"/>
                                                                                      </w:divBdr>
                                                                                      <w:divsChild>
                                                                                        <w:div w:id="1356928633">
                                                                                          <w:marLeft w:val="0"/>
                                                                                          <w:marRight w:val="0"/>
                                                                                          <w:marTop w:val="0"/>
                                                                                          <w:marBottom w:val="0"/>
                                                                                          <w:divBdr>
                                                                                            <w:top w:val="none" w:sz="0" w:space="0" w:color="auto"/>
                                                                                            <w:left w:val="none" w:sz="0" w:space="0" w:color="auto"/>
                                                                                            <w:bottom w:val="none" w:sz="0" w:space="0" w:color="auto"/>
                                                                                            <w:right w:val="none" w:sz="0" w:space="0" w:color="auto"/>
                                                                                          </w:divBdr>
                                                                                          <w:divsChild>
                                                                                            <w:div w:id="171846991">
                                                                                              <w:marLeft w:val="0"/>
                                                                                              <w:marRight w:val="0"/>
                                                                                              <w:marTop w:val="15"/>
                                                                                              <w:marBottom w:val="0"/>
                                                                                              <w:divBdr>
                                                                                                <w:top w:val="none" w:sz="0" w:space="0" w:color="auto"/>
                                                                                                <w:left w:val="none" w:sz="0" w:space="0" w:color="auto"/>
                                                                                                <w:bottom w:val="none" w:sz="0" w:space="0" w:color="auto"/>
                                                                                                <w:right w:val="none" w:sz="0" w:space="0" w:color="auto"/>
                                                                                              </w:divBdr>
                                                                                              <w:divsChild>
                                                                                                <w:div w:id="1773747698">
                                                                                                  <w:marLeft w:val="0"/>
                                                                                                  <w:marRight w:val="0"/>
                                                                                                  <w:marTop w:val="0"/>
                                                                                                  <w:marBottom w:val="0"/>
                                                                                                  <w:divBdr>
                                                                                                    <w:top w:val="none" w:sz="0" w:space="0" w:color="auto"/>
                                                                                                    <w:left w:val="none" w:sz="0" w:space="0" w:color="auto"/>
                                                                                                    <w:bottom w:val="none" w:sz="0" w:space="0" w:color="auto"/>
                                                                                                    <w:right w:val="none" w:sz="0" w:space="0" w:color="auto"/>
                                                                                                  </w:divBdr>
                                                                                                  <w:divsChild>
                                                                                                    <w:div w:id="991442597">
                                                                                                      <w:marLeft w:val="0"/>
                                                                                                      <w:marRight w:val="0"/>
                                                                                                      <w:marTop w:val="0"/>
                                                                                                      <w:marBottom w:val="0"/>
                                                                                                      <w:divBdr>
                                                                                                        <w:top w:val="none" w:sz="0" w:space="0" w:color="auto"/>
                                                                                                        <w:left w:val="none" w:sz="0" w:space="0" w:color="auto"/>
                                                                                                        <w:bottom w:val="none" w:sz="0" w:space="0" w:color="auto"/>
                                                                                                        <w:right w:val="none" w:sz="0" w:space="0" w:color="auto"/>
                                                                                                      </w:divBdr>
                                                                                                      <w:divsChild>
                                                                                                        <w:div w:id="1566140545">
                                                                                                          <w:marLeft w:val="0"/>
                                                                                                          <w:marRight w:val="0"/>
                                                                                                          <w:marTop w:val="0"/>
                                                                                                          <w:marBottom w:val="0"/>
                                                                                                          <w:divBdr>
                                                                                                            <w:top w:val="none" w:sz="0" w:space="0" w:color="auto"/>
                                                                                                            <w:left w:val="none" w:sz="0" w:space="0" w:color="auto"/>
                                                                                                            <w:bottom w:val="none" w:sz="0" w:space="0" w:color="auto"/>
                                                                                                            <w:right w:val="none" w:sz="0" w:space="0" w:color="auto"/>
                                                                                                          </w:divBdr>
                                                                                                          <w:divsChild>
                                                                                                            <w:div w:id="161169688">
                                                                                                              <w:marLeft w:val="0"/>
                                                                                                              <w:marRight w:val="0"/>
                                                                                                              <w:marTop w:val="0"/>
                                                                                                              <w:marBottom w:val="0"/>
                                                                                                              <w:divBdr>
                                                                                                                <w:top w:val="none" w:sz="0" w:space="0" w:color="auto"/>
                                                                                                                <w:left w:val="none" w:sz="0" w:space="0" w:color="auto"/>
                                                                                                                <w:bottom w:val="none" w:sz="0" w:space="0" w:color="auto"/>
                                                                                                                <w:right w:val="none" w:sz="0" w:space="0" w:color="auto"/>
                                                                                                              </w:divBdr>
                                                                                                              <w:divsChild>
                                                                                                                <w:div w:id="460001581">
                                                                                                                  <w:marLeft w:val="0"/>
                                                                                                                  <w:marRight w:val="0"/>
                                                                                                                  <w:marTop w:val="0"/>
                                                                                                                  <w:marBottom w:val="0"/>
                                                                                                                  <w:divBdr>
                                                                                                                    <w:top w:val="none" w:sz="0" w:space="0" w:color="auto"/>
                                                                                                                    <w:left w:val="none" w:sz="0" w:space="0" w:color="auto"/>
                                                                                                                    <w:bottom w:val="none" w:sz="0" w:space="0" w:color="auto"/>
                                                                                                                    <w:right w:val="none" w:sz="0" w:space="0" w:color="auto"/>
                                                                                                                  </w:divBdr>
                                                                                                                  <w:divsChild>
                                                                                                                    <w:div w:id="1484196889">
                                                                                                                      <w:marLeft w:val="0"/>
                                                                                                                      <w:marRight w:val="0"/>
                                                                                                                      <w:marTop w:val="0"/>
                                                                                                                      <w:marBottom w:val="0"/>
                                                                                                                      <w:divBdr>
                                                                                                                        <w:top w:val="none" w:sz="0" w:space="0" w:color="auto"/>
                                                                                                                        <w:left w:val="none" w:sz="0" w:space="0" w:color="auto"/>
                                                                                                                        <w:bottom w:val="none" w:sz="0" w:space="0" w:color="auto"/>
                                                                                                                        <w:right w:val="none" w:sz="0" w:space="0" w:color="auto"/>
                                                                                                                      </w:divBdr>
                                                                                                                      <w:divsChild>
                                                                                                                        <w:div w:id="330909373">
                                                                                                                          <w:marLeft w:val="0"/>
                                                                                                                          <w:marRight w:val="0"/>
                                                                                                                          <w:marTop w:val="0"/>
                                                                                                                          <w:marBottom w:val="0"/>
                                                                                                                          <w:divBdr>
                                                                                                                            <w:top w:val="none" w:sz="0" w:space="0" w:color="auto"/>
                                                                                                                            <w:left w:val="none" w:sz="0" w:space="0" w:color="auto"/>
                                                                                                                            <w:bottom w:val="none" w:sz="0" w:space="0" w:color="auto"/>
                                                                                                                            <w:right w:val="none" w:sz="0" w:space="0" w:color="auto"/>
                                                                                                                          </w:divBdr>
                                                                                                                          <w:divsChild>
                                                                                                                            <w:div w:id="48844349">
                                                                                                                              <w:marLeft w:val="0"/>
                                                                                                                              <w:marRight w:val="0"/>
                                                                                                                              <w:marTop w:val="0"/>
                                                                                                                              <w:marBottom w:val="0"/>
                                                                                                                              <w:divBdr>
                                                                                                                                <w:top w:val="none" w:sz="0" w:space="0" w:color="auto"/>
                                                                                                                                <w:left w:val="none" w:sz="0" w:space="0" w:color="auto"/>
                                                                                                                                <w:bottom w:val="none" w:sz="0" w:space="0" w:color="auto"/>
                                                                                                                                <w:right w:val="none" w:sz="0" w:space="0" w:color="auto"/>
                                                                                                                              </w:divBdr>
                                                                                                                              <w:divsChild>
                                                                                                                                <w:div w:id="154034560">
                                                                                                                                  <w:marLeft w:val="0"/>
                                                                                                                                  <w:marRight w:val="0"/>
                                                                                                                                  <w:marTop w:val="0"/>
                                                                                                                                  <w:marBottom w:val="0"/>
                                                                                                                                  <w:divBdr>
                                                                                                                                    <w:top w:val="none" w:sz="0" w:space="0" w:color="auto"/>
                                                                                                                                    <w:left w:val="none" w:sz="0" w:space="0" w:color="auto"/>
                                                                                                                                    <w:bottom w:val="none" w:sz="0" w:space="0" w:color="auto"/>
                                                                                                                                    <w:right w:val="none" w:sz="0" w:space="0" w:color="auto"/>
                                                                                                                                  </w:divBdr>
                                                                                                                                  <w:divsChild>
                                                                                                                                    <w:div w:id="1354648208">
                                                                                                                                      <w:marLeft w:val="0"/>
                                                                                                                                      <w:marRight w:val="0"/>
                                                                                                                                      <w:marTop w:val="0"/>
                                                                                                                                      <w:marBottom w:val="0"/>
                                                                                                                                      <w:divBdr>
                                                                                                                                        <w:top w:val="none" w:sz="0" w:space="0" w:color="auto"/>
                                                                                                                                        <w:left w:val="none" w:sz="0" w:space="0" w:color="auto"/>
                                                                                                                                        <w:bottom w:val="none" w:sz="0" w:space="0" w:color="auto"/>
                                                                                                                                        <w:right w:val="none" w:sz="0" w:space="0" w:color="auto"/>
                                                                                                                                      </w:divBdr>
                                                                                                                                      <w:divsChild>
                                                                                                                                        <w:div w:id="262568046">
                                                                                                                                          <w:marLeft w:val="0"/>
                                                                                                                                          <w:marRight w:val="0"/>
                                                                                                                                          <w:marTop w:val="0"/>
                                                                                                                                          <w:marBottom w:val="0"/>
                                                                                                                                          <w:divBdr>
                                                                                                                                            <w:top w:val="none" w:sz="0" w:space="0" w:color="auto"/>
                                                                                                                                            <w:left w:val="none" w:sz="0" w:space="0" w:color="auto"/>
                                                                                                                                            <w:bottom w:val="none" w:sz="0" w:space="0" w:color="auto"/>
                                                                                                                                            <w:right w:val="none" w:sz="0" w:space="0" w:color="auto"/>
                                                                                                                                          </w:divBdr>
                                                                                                                                          <w:divsChild>
                                                                                                                                            <w:div w:id="1680347311">
                                                                                                                                              <w:marLeft w:val="0"/>
                                                                                                                                              <w:marRight w:val="0"/>
                                                                                                                                              <w:marTop w:val="0"/>
                                                                                                                                              <w:marBottom w:val="0"/>
                                                                                                                                              <w:divBdr>
                                                                                                                                                <w:top w:val="none" w:sz="0" w:space="0" w:color="auto"/>
                                                                                                                                                <w:left w:val="none" w:sz="0" w:space="0" w:color="auto"/>
                                                                                                                                                <w:bottom w:val="none" w:sz="0" w:space="0" w:color="auto"/>
                                                                                                                                                <w:right w:val="none" w:sz="0" w:space="0" w:color="auto"/>
                                                                                                                                              </w:divBdr>
                                                                                                                                              <w:divsChild>
                                                                                                                                                <w:div w:id="131755345">
                                                                                                                                                  <w:marLeft w:val="0"/>
                                                                                                                                                  <w:marRight w:val="0"/>
                                                                                                                                                  <w:marTop w:val="0"/>
                                                                                                                                                  <w:marBottom w:val="0"/>
                                                                                                                                                  <w:divBdr>
                                                                                                                                                    <w:top w:val="none" w:sz="0" w:space="0" w:color="auto"/>
                                                                                                                                                    <w:left w:val="none" w:sz="0" w:space="0" w:color="auto"/>
                                                                                                                                                    <w:bottom w:val="none" w:sz="0" w:space="0" w:color="auto"/>
                                                                                                                                                    <w:right w:val="none" w:sz="0" w:space="0" w:color="auto"/>
                                                                                                                                                  </w:divBdr>
                                                                                                                                                  <w:divsChild>
                                                                                                                                                    <w:div w:id="16137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4258-8C52-4AB9-99E9-F37E0A4F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鄧淑芬</cp:lastModifiedBy>
  <cp:revision>3</cp:revision>
  <cp:lastPrinted>2016-06-07T01:25:00Z</cp:lastPrinted>
  <dcterms:created xsi:type="dcterms:W3CDTF">2017-06-14T03:34:00Z</dcterms:created>
  <dcterms:modified xsi:type="dcterms:W3CDTF">2017-06-14T03:36:00Z</dcterms:modified>
</cp:coreProperties>
</file>