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C596" w14:textId="77777777" w:rsidR="009E3137" w:rsidRPr="00D83B0B" w:rsidRDefault="009E3137" w:rsidP="009E3137">
      <w:pPr>
        <w:pStyle w:val="12"/>
        <w:tabs>
          <w:tab w:val="left" w:pos="0"/>
        </w:tabs>
        <w:ind w:left="561" w:hangingChars="200" w:hanging="561"/>
        <w:jc w:val="center"/>
        <w:rPr>
          <w:b/>
          <w:bCs/>
        </w:rPr>
      </w:pPr>
      <w:r w:rsidRPr="00D83B0B">
        <w:rPr>
          <w:b/>
          <w:bCs/>
        </w:rPr>
        <w:t>財團法人中華民國證券櫃檯買賣中心</w:t>
      </w:r>
    </w:p>
    <w:p w14:paraId="04E40781" w14:textId="41DD13B6" w:rsidR="009E3137" w:rsidRPr="00D83B0B" w:rsidRDefault="00610B3B" w:rsidP="00610B3B">
      <w:pPr>
        <w:pStyle w:val="12"/>
        <w:tabs>
          <w:tab w:val="left" w:pos="0"/>
        </w:tabs>
        <w:ind w:left="561" w:rightChars="-187" w:right="-449" w:hangingChars="200" w:hanging="561"/>
        <w:jc w:val="center"/>
        <w:rPr>
          <w:b/>
          <w:bCs/>
        </w:rPr>
      </w:pPr>
      <w:r w:rsidRPr="00D83B0B">
        <w:rPr>
          <w:rFonts w:hint="eastAsia"/>
          <w:b/>
          <w:bCs/>
        </w:rPr>
        <w:t>外幣計價國際債券管理規則</w:t>
      </w:r>
      <w:r w:rsidR="009E3137" w:rsidRPr="00D83B0B">
        <w:rPr>
          <w:rFonts w:hint="eastAsia"/>
          <w:b/>
          <w:bCs/>
        </w:rPr>
        <w:t>第四條之一、第六條之二</w:t>
      </w:r>
      <w:r w:rsidR="009E3137" w:rsidRPr="00D83B0B">
        <w:rPr>
          <w:b/>
          <w:bCs/>
        </w:rPr>
        <w:t>修正條文對照表</w:t>
      </w:r>
    </w:p>
    <w:p w14:paraId="2787A879" w14:textId="2E6E2E61" w:rsidR="00F80F17" w:rsidRPr="00D83B0B" w:rsidRDefault="00F80F17" w:rsidP="00F80F17">
      <w:pPr>
        <w:pStyle w:val="12"/>
        <w:tabs>
          <w:tab w:val="left" w:pos="0"/>
        </w:tabs>
        <w:ind w:left="400" w:rightChars="-187" w:right="-449" w:hangingChars="200" w:hanging="400"/>
        <w:jc w:val="right"/>
        <w:rPr>
          <w:b/>
          <w:bCs/>
        </w:rPr>
      </w:pPr>
      <w:r w:rsidRPr="00D83B0B">
        <w:rPr>
          <w:rFonts w:hint="eastAsia"/>
          <w:sz w:val="20"/>
        </w:rPr>
        <w:t>金融監督管理委員會</w:t>
      </w:r>
      <w:r w:rsidRPr="00D83B0B">
        <w:rPr>
          <w:rFonts w:hint="eastAsia"/>
          <w:sz w:val="20"/>
        </w:rPr>
        <w:t>106</w:t>
      </w:r>
      <w:r w:rsidRPr="00D83B0B">
        <w:rPr>
          <w:rFonts w:hint="eastAsia"/>
          <w:sz w:val="20"/>
        </w:rPr>
        <w:t>年</w:t>
      </w:r>
      <w:r w:rsidRPr="00D83B0B">
        <w:rPr>
          <w:rFonts w:hint="eastAsia"/>
          <w:sz w:val="20"/>
        </w:rPr>
        <w:t>12</w:t>
      </w:r>
      <w:r w:rsidRPr="00D83B0B">
        <w:rPr>
          <w:rFonts w:hint="eastAsia"/>
          <w:sz w:val="20"/>
        </w:rPr>
        <w:t>月</w:t>
      </w:r>
      <w:r w:rsidRPr="00D83B0B">
        <w:rPr>
          <w:rFonts w:hint="eastAsia"/>
          <w:sz w:val="20"/>
        </w:rPr>
        <w:t>28</w:t>
      </w:r>
      <w:r w:rsidRPr="00D83B0B">
        <w:rPr>
          <w:rFonts w:hint="eastAsia"/>
          <w:sz w:val="20"/>
        </w:rPr>
        <w:t>日</w:t>
      </w:r>
      <w:proofErr w:type="gramStart"/>
      <w:r w:rsidRPr="00D83B0B">
        <w:rPr>
          <w:rFonts w:hint="eastAsia"/>
          <w:sz w:val="20"/>
        </w:rPr>
        <w:t>金管證發</w:t>
      </w:r>
      <w:proofErr w:type="gramEnd"/>
      <w:r w:rsidRPr="00D83B0B">
        <w:rPr>
          <w:rFonts w:hint="eastAsia"/>
          <w:sz w:val="20"/>
        </w:rPr>
        <w:t>字第</w:t>
      </w:r>
      <w:r w:rsidRPr="00D83B0B">
        <w:rPr>
          <w:rFonts w:hint="eastAsia"/>
          <w:sz w:val="20"/>
        </w:rPr>
        <w:t>1060050811</w:t>
      </w:r>
      <w:r w:rsidRPr="00D83B0B">
        <w:rPr>
          <w:rFonts w:hint="eastAsia"/>
          <w:sz w:val="20"/>
        </w:rPr>
        <w:t>號函同意核備</w:t>
      </w:r>
    </w:p>
    <w:tbl>
      <w:tblPr>
        <w:tblW w:w="52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02"/>
        <w:gridCol w:w="3206"/>
        <w:gridCol w:w="3168"/>
      </w:tblGrid>
      <w:tr w:rsidR="00D83B0B" w:rsidRPr="00D83B0B" w14:paraId="0D484722" w14:textId="77777777" w:rsidTr="00610B3B">
        <w:trPr>
          <w:tblHeader/>
        </w:trPr>
        <w:tc>
          <w:tcPr>
            <w:tcW w:w="1672" w:type="pct"/>
            <w:tcBorders>
              <w:top w:val="single" w:sz="4" w:space="0" w:color="auto"/>
              <w:left w:val="single" w:sz="4" w:space="0" w:color="auto"/>
              <w:bottom w:val="single" w:sz="4" w:space="0" w:color="auto"/>
              <w:right w:val="single" w:sz="4" w:space="0" w:color="auto"/>
            </w:tcBorders>
            <w:vAlign w:val="center"/>
            <w:hideMark/>
          </w:tcPr>
          <w:p w14:paraId="7F7299BA" w14:textId="77777777" w:rsidR="0015425E" w:rsidRPr="00D83B0B" w:rsidRDefault="0015425E" w:rsidP="0015425E">
            <w:pPr>
              <w:snapToGrid w:val="0"/>
              <w:spacing w:line="300" w:lineRule="auto"/>
              <w:jc w:val="center"/>
              <w:rPr>
                <w:rFonts w:ascii="標楷體" w:eastAsia="標楷體" w:hAnsi="標楷體" w:cs="Times New Roman"/>
                <w:bCs/>
                <w:sz w:val="28"/>
                <w:szCs w:val="28"/>
              </w:rPr>
            </w:pPr>
            <w:r w:rsidRPr="00D83B0B">
              <w:rPr>
                <w:rFonts w:ascii="標楷體" w:eastAsia="標楷體" w:hAnsi="標楷體" w:cs="Times New Roman" w:hint="eastAsia"/>
                <w:bCs/>
                <w:sz w:val="28"/>
                <w:szCs w:val="28"/>
              </w:rPr>
              <w:t>修正條文</w:t>
            </w:r>
          </w:p>
        </w:tc>
        <w:tc>
          <w:tcPr>
            <w:tcW w:w="1674" w:type="pct"/>
            <w:tcBorders>
              <w:top w:val="single" w:sz="4" w:space="0" w:color="auto"/>
              <w:left w:val="single" w:sz="4" w:space="0" w:color="auto"/>
              <w:bottom w:val="single" w:sz="4" w:space="0" w:color="auto"/>
              <w:right w:val="single" w:sz="4" w:space="0" w:color="auto"/>
            </w:tcBorders>
            <w:vAlign w:val="center"/>
            <w:hideMark/>
          </w:tcPr>
          <w:p w14:paraId="6A808062" w14:textId="77777777" w:rsidR="0015425E" w:rsidRPr="00D83B0B" w:rsidRDefault="0015425E" w:rsidP="0015425E">
            <w:pPr>
              <w:snapToGrid w:val="0"/>
              <w:spacing w:line="300" w:lineRule="auto"/>
              <w:jc w:val="center"/>
              <w:rPr>
                <w:rFonts w:ascii="標楷體" w:eastAsia="標楷體" w:hAnsi="標楷體" w:cs="Times New Roman"/>
                <w:bCs/>
                <w:sz w:val="28"/>
                <w:szCs w:val="28"/>
              </w:rPr>
            </w:pPr>
            <w:r w:rsidRPr="00D83B0B">
              <w:rPr>
                <w:rFonts w:ascii="標楷體" w:eastAsia="標楷體" w:hAnsi="標楷體" w:cs="Times New Roman" w:hint="eastAsia"/>
                <w:bCs/>
                <w:sz w:val="28"/>
                <w:szCs w:val="28"/>
              </w:rPr>
              <w:t>現行條文</w:t>
            </w:r>
          </w:p>
        </w:tc>
        <w:tc>
          <w:tcPr>
            <w:tcW w:w="1654" w:type="pct"/>
            <w:tcBorders>
              <w:top w:val="single" w:sz="4" w:space="0" w:color="auto"/>
              <w:left w:val="single" w:sz="4" w:space="0" w:color="auto"/>
              <w:bottom w:val="single" w:sz="4" w:space="0" w:color="auto"/>
              <w:right w:val="single" w:sz="4" w:space="0" w:color="auto"/>
            </w:tcBorders>
            <w:vAlign w:val="center"/>
            <w:hideMark/>
          </w:tcPr>
          <w:p w14:paraId="5ECA2DB4" w14:textId="77777777" w:rsidR="0015425E" w:rsidRPr="00D83B0B" w:rsidRDefault="0015425E" w:rsidP="0015425E">
            <w:pPr>
              <w:snapToGrid w:val="0"/>
              <w:spacing w:line="300" w:lineRule="auto"/>
              <w:jc w:val="center"/>
              <w:rPr>
                <w:rFonts w:ascii="標楷體" w:eastAsia="標楷體" w:hAnsi="標楷體" w:cs="Times New Roman"/>
                <w:bCs/>
                <w:sz w:val="28"/>
                <w:szCs w:val="28"/>
              </w:rPr>
            </w:pPr>
            <w:r w:rsidRPr="00D83B0B">
              <w:rPr>
                <w:rFonts w:ascii="標楷體" w:eastAsia="標楷體" w:hAnsi="標楷體" w:cs="Times New Roman" w:hint="eastAsia"/>
                <w:bCs/>
                <w:sz w:val="28"/>
                <w:szCs w:val="28"/>
              </w:rPr>
              <w:t>說</w:t>
            </w:r>
            <w:r w:rsidRPr="00D83B0B">
              <w:rPr>
                <w:rFonts w:ascii="標楷體" w:eastAsia="標楷體" w:hAnsi="標楷體" w:cs="Times New Roman"/>
                <w:bCs/>
                <w:sz w:val="28"/>
                <w:szCs w:val="28"/>
              </w:rPr>
              <w:t xml:space="preserve">     </w:t>
            </w:r>
            <w:r w:rsidRPr="00D83B0B">
              <w:rPr>
                <w:rFonts w:ascii="標楷體" w:eastAsia="標楷體" w:hAnsi="標楷體" w:cs="Times New Roman" w:hint="eastAsia"/>
                <w:bCs/>
                <w:sz w:val="28"/>
                <w:szCs w:val="28"/>
              </w:rPr>
              <w:t>明</w:t>
            </w:r>
          </w:p>
        </w:tc>
      </w:tr>
      <w:tr w:rsidR="00D83B0B" w:rsidRPr="00D83B0B" w14:paraId="2E10B92E" w14:textId="77777777" w:rsidTr="00610B3B">
        <w:trPr>
          <w:trHeight w:val="1053"/>
        </w:trPr>
        <w:tc>
          <w:tcPr>
            <w:tcW w:w="1672" w:type="pct"/>
            <w:tcBorders>
              <w:top w:val="single" w:sz="4" w:space="0" w:color="auto"/>
              <w:left w:val="single" w:sz="4" w:space="0" w:color="auto"/>
              <w:bottom w:val="single" w:sz="4" w:space="0" w:color="auto"/>
              <w:right w:val="single" w:sz="4" w:space="0" w:color="auto"/>
            </w:tcBorders>
          </w:tcPr>
          <w:p w14:paraId="28DD96AE"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第四條之</w:t>
            </w:r>
            <w:proofErr w:type="gramStart"/>
            <w:r w:rsidRPr="00D83B0B">
              <w:rPr>
                <w:rFonts w:ascii="標楷體" w:eastAsia="標楷體" w:hAnsi="標楷體" w:cs="Times New Roman" w:hint="eastAsia"/>
                <w:bCs/>
                <w:sz w:val="28"/>
                <w:szCs w:val="28"/>
              </w:rPr>
              <w:t>一</w:t>
            </w:r>
            <w:proofErr w:type="gramEnd"/>
          </w:p>
          <w:p w14:paraId="57EA54F2"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外國發行人在國內募集與發行僅銷售予專業投資人之外幣計價普通公司債，經主管機關核定免依證券交易法第二十二條第一項辦理申報生效者，得依本管理規則規定向本中心申請櫃檯買賣。</w:t>
            </w:r>
          </w:p>
          <w:p w14:paraId="53C9A98B"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90" w:firstLine="532"/>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rPr>
              <w:t>前項外國發行人</w:t>
            </w:r>
            <w:r w:rsidRPr="00D83B0B">
              <w:rPr>
                <w:rFonts w:ascii="標楷體" w:eastAsia="標楷體" w:hAnsi="標楷體" w:cs="Times New Roman" w:hint="eastAsia"/>
                <w:bCs/>
                <w:sz w:val="28"/>
                <w:szCs w:val="28"/>
                <w:u w:val="single"/>
              </w:rPr>
              <w:t>之範圍及資格條件如下：</w:t>
            </w:r>
          </w:p>
          <w:p w14:paraId="7A7A2D55"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90" w:firstLine="532"/>
              <w:jc w:val="both"/>
              <w:rPr>
                <w:rFonts w:ascii="標楷體" w:eastAsia="標楷體" w:hAnsi="標楷體" w:cs="Times New Roman"/>
                <w:bCs/>
                <w:sz w:val="28"/>
                <w:szCs w:val="28"/>
                <w:u w:val="single"/>
              </w:rPr>
            </w:pPr>
          </w:p>
          <w:p w14:paraId="3C2A0F0A"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Times New Roman"/>
                <w:bCs/>
                <w:sz w:val="28"/>
                <w:szCs w:val="28"/>
                <w:u w:val="single"/>
              </w:rPr>
            </w:pPr>
          </w:p>
          <w:p w14:paraId="348FC189"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Times New Roman"/>
                <w:bCs/>
                <w:sz w:val="28"/>
                <w:szCs w:val="28"/>
                <w:u w:val="single"/>
              </w:rPr>
            </w:pPr>
          </w:p>
          <w:p w14:paraId="0A006284" w14:textId="77777777" w:rsidR="0015425E" w:rsidRPr="00D83B0B" w:rsidRDefault="0015425E" w:rsidP="0015425E">
            <w:pPr>
              <w:pStyle w:val="a8"/>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超國家機構：指</w:t>
            </w:r>
            <w:r w:rsidR="00D370AB" w:rsidRPr="00D83B0B">
              <w:rPr>
                <w:rFonts w:ascii="標楷體" w:eastAsia="標楷體" w:hAnsi="標楷體" w:cs="Times New Roman" w:hint="eastAsia"/>
                <w:sz w:val="28"/>
                <w:szCs w:val="28"/>
                <w:u w:val="single"/>
              </w:rPr>
              <w:t>多個</w:t>
            </w:r>
            <w:r w:rsidR="008437F4" w:rsidRPr="00D83B0B">
              <w:rPr>
                <w:rFonts w:ascii="標楷體" w:eastAsia="標楷體" w:hAnsi="標楷體" w:cs="Times New Roman" w:hint="eastAsia"/>
                <w:sz w:val="28"/>
                <w:szCs w:val="28"/>
                <w:u w:val="single"/>
              </w:rPr>
              <w:t>國家</w:t>
            </w:r>
            <w:r w:rsidR="005F0501" w:rsidRPr="00D83B0B">
              <w:rPr>
                <w:rFonts w:ascii="標楷體" w:eastAsia="標楷體" w:hAnsi="標楷體" w:cs="Times New Roman" w:hint="eastAsia"/>
                <w:sz w:val="28"/>
                <w:szCs w:val="28"/>
                <w:u w:val="single"/>
              </w:rPr>
              <w:t>或</w:t>
            </w:r>
            <w:r w:rsidR="008437F4" w:rsidRPr="00D83B0B">
              <w:rPr>
                <w:rFonts w:ascii="標楷體" w:eastAsia="標楷體" w:hAnsi="標楷體" w:cs="Times New Roman" w:hint="eastAsia"/>
                <w:sz w:val="28"/>
                <w:szCs w:val="28"/>
                <w:u w:val="single"/>
              </w:rPr>
              <w:t>組織</w:t>
            </w:r>
            <w:r w:rsidR="00D370AB" w:rsidRPr="00D83B0B">
              <w:rPr>
                <w:rFonts w:ascii="標楷體" w:eastAsia="標楷體" w:hAnsi="標楷體" w:cs="Times New Roman" w:hint="eastAsia"/>
                <w:sz w:val="28"/>
                <w:szCs w:val="28"/>
                <w:u w:val="single"/>
              </w:rPr>
              <w:t>所成立之</w:t>
            </w:r>
            <w:r w:rsidRPr="00D83B0B">
              <w:rPr>
                <w:rFonts w:ascii="標楷體" w:eastAsia="標楷體" w:hAnsi="標楷體" w:cs="Times New Roman" w:hint="eastAsia"/>
                <w:bCs/>
                <w:sz w:val="28"/>
                <w:szCs w:val="28"/>
                <w:u w:val="single"/>
              </w:rPr>
              <w:t>多邊國際機構(如附表</w:t>
            </w:r>
            <w:proofErr w:type="gramStart"/>
            <w:r w:rsidRPr="00D83B0B">
              <w:rPr>
                <w:rFonts w:ascii="標楷體" w:eastAsia="標楷體" w:hAnsi="標楷體" w:cs="Times New Roman" w:hint="eastAsia"/>
                <w:bCs/>
                <w:sz w:val="28"/>
                <w:szCs w:val="28"/>
                <w:u w:val="single"/>
              </w:rPr>
              <w:t>一</w:t>
            </w:r>
            <w:proofErr w:type="gramEnd"/>
            <w:r w:rsidRPr="00D83B0B">
              <w:rPr>
                <w:rFonts w:ascii="標楷體" w:eastAsia="標楷體" w:hAnsi="標楷體" w:cs="Times New Roman" w:hint="eastAsia"/>
                <w:bCs/>
                <w:sz w:val="28"/>
                <w:szCs w:val="28"/>
                <w:u w:val="single"/>
              </w:rPr>
              <w:t>)。</w:t>
            </w:r>
          </w:p>
          <w:p w14:paraId="4BD008D7" w14:textId="2244AA04" w:rsidR="0015425E" w:rsidRPr="00D83B0B" w:rsidRDefault="0015425E" w:rsidP="00B2738F">
            <w:pPr>
              <w:pStyle w:val="a8"/>
              <w:widowControl/>
              <w:numPr>
                <w:ilvl w:val="0"/>
                <w:numId w:val="13"/>
              </w:numPr>
              <w:spacing w:line="0" w:lineRule="atLeast"/>
              <w:ind w:leftChars="0"/>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依照外國法律組織登記或成立之公司</w:t>
            </w:r>
            <w:r w:rsidR="0054112B" w:rsidRPr="00D83B0B">
              <w:rPr>
                <w:rFonts w:ascii="標楷體" w:eastAsia="標楷體" w:hAnsi="標楷體" w:hint="eastAsia"/>
                <w:bCs/>
                <w:sz w:val="28"/>
                <w:szCs w:val="28"/>
                <w:u w:val="single"/>
              </w:rPr>
              <w:t>或其子公司</w:t>
            </w:r>
            <w:r w:rsidRPr="00D83B0B">
              <w:rPr>
                <w:rFonts w:ascii="標楷體" w:eastAsia="標楷體" w:hAnsi="標楷體" w:cs="Times New Roman" w:hint="eastAsia"/>
                <w:bCs/>
                <w:sz w:val="28"/>
                <w:szCs w:val="28"/>
                <w:u w:val="single"/>
              </w:rPr>
              <w:t>：</w:t>
            </w:r>
          </w:p>
          <w:p w14:paraId="06F0045D" w14:textId="77777777" w:rsidR="00B2738F"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w:t>
            </w:r>
            <w:proofErr w:type="gramStart"/>
            <w:r w:rsidRPr="00D83B0B">
              <w:rPr>
                <w:rFonts w:ascii="標楷體" w:eastAsia="標楷體" w:hAnsi="標楷體" w:cs="Times New Roman" w:hint="eastAsia"/>
                <w:bCs/>
                <w:sz w:val="28"/>
                <w:szCs w:val="28"/>
                <w:u w:val="single"/>
              </w:rPr>
              <w:t>一</w:t>
            </w:r>
            <w:proofErr w:type="gramEnd"/>
            <w:r w:rsidRPr="00D83B0B">
              <w:rPr>
                <w:rFonts w:ascii="標楷體" w:eastAsia="標楷體" w:hAnsi="標楷體" w:cs="Times New Roman"/>
                <w:bCs/>
                <w:sz w:val="28"/>
                <w:szCs w:val="28"/>
                <w:u w:val="single"/>
              </w:rPr>
              <w:t>)</w:t>
            </w:r>
            <w:r w:rsidR="00B2738F" w:rsidRPr="00D83B0B">
              <w:rPr>
                <w:rFonts w:ascii="標楷體" w:eastAsia="標楷體" w:hAnsi="標楷體" w:cs="Times New Roman" w:hint="eastAsia"/>
                <w:bCs/>
                <w:sz w:val="28"/>
                <w:szCs w:val="28"/>
                <w:u w:val="single"/>
              </w:rPr>
              <w:t>依照外國法律組織登記或成立之公司符合下列資格條件之</w:t>
            </w:r>
            <w:proofErr w:type="gramStart"/>
            <w:r w:rsidR="00B2738F" w:rsidRPr="00D83B0B">
              <w:rPr>
                <w:rFonts w:ascii="標楷體" w:eastAsia="標楷體" w:hAnsi="標楷體" w:cs="Times New Roman" w:hint="eastAsia"/>
                <w:bCs/>
                <w:sz w:val="28"/>
                <w:szCs w:val="28"/>
                <w:u w:val="single"/>
              </w:rPr>
              <w:t>一</w:t>
            </w:r>
            <w:proofErr w:type="gramEnd"/>
            <w:r w:rsidR="00B2738F" w:rsidRPr="00D83B0B">
              <w:rPr>
                <w:rFonts w:ascii="標楷體" w:eastAsia="標楷體" w:hAnsi="標楷體" w:cs="Times New Roman" w:hint="eastAsia"/>
                <w:bCs/>
                <w:sz w:val="28"/>
                <w:szCs w:val="28"/>
                <w:u w:val="single"/>
              </w:rPr>
              <w:t>者：</w:t>
            </w:r>
          </w:p>
          <w:p w14:paraId="40E4189C" w14:textId="77777777" w:rsidR="00B2738F" w:rsidRPr="00D83B0B" w:rsidRDefault="00B2738F" w:rsidP="00B2738F">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1.</w:t>
            </w:r>
            <w:r w:rsidR="0015425E" w:rsidRPr="00D83B0B">
              <w:rPr>
                <w:rFonts w:ascii="標楷體" w:eastAsia="標楷體" w:hAnsi="標楷體" w:cs="Times New Roman" w:hint="eastAsia"/>
                <w:bCs/>
                <w:sz w:val="28"/>
                <w:szCs w:val="28"/>
                <w:u w:val="single"/>
              </w:rPr>
              <w:t>股票已在經主管機關核定之國外證券市場掛牌交易。</w:t>
            </w:r>
          </w:p>
          <w:p w14:paraId="0990F4B0" w14:textId="77777777" w:rsidR="00B2738F" w:rsidRPr="00D83B0B" w:rsidRDefault="00B2738F" w:rsidP="00B2738F">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2.</w:t>
            </w:r>
            <w:r w:rsidR="0015425E" w:rsidRPr="00D83B0B">
              <w:rPr>
                <w:rFonts w:ascii="標楷體" w:eastAsia="標楷體" w:hAnsi="標楷體" w:cs="Times New Roman" w:hint="eastAsia"/>
                <w:bCs/>
                <w:sz w:val="28"/>
                <w:szCs w:val="28"/>
                <w:u w:val="single"/>
              </w:rPr>
              <w:t>存託憑證已在經主管機關核定之美國全國性證券交易所掛牌交易，且該存託憑證為</w:t>
            </w:r>
            <w:r w:rsidR="0015425E" w:rsidRPr="00D83B0B">
              <w:rPr>
                <w:rFonts w:ascii="標楷體" w:eastAsia="標楷體" w:hAnsi="標楷體" w:cs="Times New Roman" w:hint="eastAsia"/>
                <w:bCs/>
                <w:sz w:val="28"/>
                <w:szCs w:val="28"/>
                <w:u w:val="single"/>
              </w:rPr>
              <w:lastRenderedPageBreak/>
              <w:t>參與型第二級或參與型第三級。</w:t>
            </w:r>
          </w:p>
          <w:p w14:paraId="1907B984" w14:textId="77777777" w:rsidR="00B2738F" w:rsidRPr="00D83B0B" w:rsidRDefault="00B2738F" w:rsidP="00B2738F">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3.</w:t>
            </w:r>
            <w:r w:rsidR="0015425E" w:rsidRPr="00D83B0B">
              <w:rPr>
                <w:rFonts w:ascii="標楷體" w:eastAsia="標楷體" w:hAnsi="標楷體" w:cs="Times New Roman" w:hint="eastAsia"/>
                <w:bCs/>
                <w:sz w:val="28"/>
                <w:szCs w:val="28"/>
                <w:u w:val="single"/>
              </w:rPr>
              <w:t>股票已在具世界交易所聯合會正式會員資格之證券交易所掛牌，且該證券</w:t>
            </w:r>
            <w:r w:rsidR="0015425E" w:rsidRPr="00D83B0B">
              <w:rPr>
                <w:rFonts w:ascii="標楷體" w:eastAsia="標楷體" w:hAnsi="標楷體" w:cs="Times New Roman"/>
                <w:bCs/>
                <w:sz w:val="28"/>
                <w:szCs w:val="28"/>
                <w:u w:val="single"/>
              </w:rPr>
              <w:t>交易所之</w:t>
            </w:r>
            <w:r w:rsidR="0015425E" w:rsidRPr="00D83B0B">
              <w:rPr>
                <w:rFonts w:ascii="標楷體" w:eastAsia="標楷體" w:hAnsi="標楷體" w:cs="Times New Roman" w:hint="eastAsia"/>
                <w:bCs/>
                <w:sz w:val="28"/>
                <w:szCs w:val="28"/>
                <w:u w:val="single"/>
              </w:rPr>
              <w:t>主管機關已與我國主管機關簽署監理合作協議。</w:t>
            </w:r>
          </w:p>
          <w:p w14:paraId="5864AB8F" w14:textId="77777777" w:rsidR="0015425E" w:rsidRPr="00D83B0B" w:rsidRDefault="00B2738F" w:rsidP="00B2738F">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4.</w:t>
            </w:r>
            <w:r w:rsidR="0015425E" w:rsidRPr="00D83B0B">
              <w:rPr>
                <w:rFonts w:ascii="標楷體" w:eastAsia="標楷體" w:hAnsi="標楷體" w:cs="Times New Roman" w:hint="eastAsia"/>
                <w:bCs/>
                <w:sz w:val="28"/>
                <w:szCs w:val="28"/>
                <w:u w:val="single"/>
              </w:rPr>
              <w:t>最近一期經會計師查核或核閱之財務報告總資產超過美元二億元或淨值超過美元二仟萬元。</w:t>
            </w:r>
          </w:p>
          <w:p w14:paraId="2916660A" w14:textId="605015FF"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w:t>
            </w:r>
            <w:r w:rsidR="00B2738F" w:rsidRPr="00D83B0B">
              <w:rPr>
                <w:rFonts w:ascii="標楷體" w:eastAsia="標楷體" w:hAnsi="標楷體" w:cs="Times New Roman" w:hint="eastAsia"/>
                <w:bCs/>
                <w:sz w:val="28"/>
                <w:szCs w:val="28"/>
                <w:u w:val="single"/>
              </w:rPr>
              <w:t>二</w:t>
            </w:r>
            <w:r w:rsidRPr="00D83B0B">
              <w:rPr>
                <w:rFonts w:ascii="標楷體" w:eastAsia="標楷體" w:hAnsi="標楷體" w:cs="Times New Roman" w:hint="eastAsia"/>
                <w:bCs/>
                <w:sz w:val="28"/>
                <w:szCs w:val="28"/>
                <w:u w:val="single"/>
              </w:rPr>
              <w:t>)</w:t>
            </w:r>
            <w:proofErr w:type="gramStart"/>
            <w:r w:rsidR="005F0501" w:rsidRPr="00D83B0B">
              <w:rPr>
                <w:rFonts w:ascii="標楷體" w:eastAsia="標楷體" w:hAnsi="標楷體" w:cs="Times New Roman" w:hint="eastAsia"/>
                <w:bCs/>
                <w:sz w:val="28"/>
                <w:szCs w:val="28"/>
                <w:u w:val="single"/>
              </w:rPr>
              <w:t>為前目公司</w:t>
            </w:r>
            <w:proofErr w:type="gramEnd"/>
            <w:r w:rsidR="00B2738F" w:rsidRPr="00D83B0B">
              <w:rPr>
                <w:rFonts w:ascii="標楷體" w:eastAsia="標楷體" w:hAnsi="標楷體" w:cs="Times New Roman" w:hint="eastAsia"/>
                <w:bCs/>
                <w:sz w:val="28"/>
                <w:szCs w:val="28"/>
                <w:u w:val="single"/>
              </w:rPr>
              <w:t>之子公司：</w:t>
            </w:r>
            <w:proofErr w:type="gramStart"/>
            <w:r w:rsidR="009F1967" w:rsidRPr="00D83B0B">
              <w:rPr>
                <w:rFonts w:ascii="標楷體" w:eastAsia="標楷體" w:hAnsi="標楷體" w:hint="eastAsia"/>
                <w:sz w:val="28"/>
                <w:szCs w:val="28"/>
                <w:u w:val="single"/>
              </w:rPr>
              <w:t>為</w:t>
            </w:r>
            <w:r w:rsidR="005F0501" w:rsidRPr="00D83B0B">
              <w:rPr>
                <w:rFonts w:ascii="標楷體" w:eastAsia="標楷體" w:hAnsi="標楷體" w:hint="eastAsia"/>
                <w:sz w:val="28"/>
                <w:szCs w:val="28"/>
                <w:u w:val="single"/>
              </w:rPr>
              <w:t>前</w:t>
            </w:r>
            <w:r w:rsidR="009F1967" w:rsidRPr="00D83B0B">
              <w:rPr>
                <w:rFonts w:ascii="標楷體" w:eastAsia="標楷體" w:hAnsi="標楷體" w:hint="eastAsia"/>
                <w:sz w:val="28"/>
                <w:szCs w:val="28"/>
                <w:u w:val="single"/>
              </w:rPr>
              <w:t>目之</w:t>
            </w:r>
            <w:proofErr w:type="gramEnd"/>
            <w:r w:rsidR="009F1967" w:rsidRPr="00D83B0B">
              <w:rPr>
                <w:rFonts w:ascii="標楷體" w:eastAsia="標楷體" w:hAnsi="標楷體" w:hint="eastAsia"/>
                <w:sz w:val="28"/>
                <w:szCs w:val="28"/>
                <w:u w:val="single"/>
              </w:rPr>
              <w:t>公司直接或間接持有百分之百股份者，</w:t>
            </w:r>
            <w:proofErr w:type="gramStart"/>
            <w:r w:rsidR="009F1967" w:rsidRPr="00D83B0B">
              <w:rPr>
                <w:rFonts w:ascii="標楷體" w:eastAsia="標楷體" w:hAnsi="標楷體" w:hint="eastAsia"/>
                <w:sz w:val="28"/>
                <w:szCs w:val="28"/>
                <w:u w:val="single"/>
              </w:rPr>
              <w:t>由該母公司</w:t>
            </w:r>
            <w:proofErr w:type="gramEnd"/>
            <w:r w:rsidR="009F1967" w:rsidRPr="00D83B0B">
              <w:rPr>
                <w:rFonts w:ascii="標楷體" w:eastAsia="標楷體" w:hAnsi="標楷體" w:hint="eastAsia"/>
                <w:sz w:val="28"/>
                <w:szCs w:val="28"/>
                <w:u w:val="single"/>
              </w:rPr>
              <w:t>對該債券提供百分之百保證並承諾依主管機關及本中心規定履行公告申報之義務。</w:t>
            </w:r>
          </w:p>
          <w:p w14:paraId="5B556659" w14:textId="77777777" w:rsidR="0015425E" w:rsidRPr="00D83B0B" w:rsidRDefault="0015425E" w:rsidP="0015425E">
            <w:pPr>
              <w:pStyle w:val="a8"/>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rPr>
              <w:t>外國金融機構</w:t>
            </w:r>
            <w:r w:rsidRPr="00D83B0B">
              <w:rPr>
                <w:rFonts w:ascii="新細明體" w:eastAsia="新細明體" w:hAnsi="新細明體" w:cs="Times New Roman" w:hint="eastAsia"/>
                <w:bCs/>
                <w:sz w:val="28"/>
                <w:szCs w:val="28"/>
                <w:u w:val="single"/>
              </w:rPr>
              <w:t>、</w:t>
            </w:r>
            <w:r w:rsidRPr="00D83B0B">
              <w:rPr>
                <w:rFonts w:ascii="標楷體" w:eastAsia="標楷體" w:hAnsi="標楷體" w:cs="Times New Roman" w:hint="eastAsia"/>
                <w:bCs/>
                <w:sz w:val="28"/>
                <w:szCs w:val="28"/>
                <w:u w:val="single"/>
              </w:rPr>
              <w:t>其分支機構或其子公司：</w:t>
            </w:r>
          </w:p>
          <w:p w14:paraId="76444091" w14:textId="77777777" w:rsidR="0015425E" w:rsidRPr="00D83B0B" w:rsidRDefault="0015425E" w:rsidP="009D54E0">
            <w:pPr>
              <w:pStyle w:val="a8"/>
              <w:widowControl/>
              <w:numPr>
                <w:ilvl w:val="0"/>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外國金融機構：符合第二款第一目</w:t>
            </w:r>
            <w:r w:rsidR="009D54E0" w:rsidRPr="00D83B0B">
              <w:rPr>
                <w:rFonts w:ascii="標楷體" w:eastAsia="標楷體" w:hAnsi="標楷體" w:cs="Times New Roman" w:hint="eastAsia"/>
                <w:bCs/>
                <w:sz w:val="28"/>
                <w:szCs w:val="28"/>
                <w:u w:val="single"/>
              </w:rPr>
              <w:t>之1、2、3</w:t>
            </w:r>
            <w:r w:rsidRPr="00D83B0B">
              <w:rPr>
                <w:rFonts w:ascii="標楷體" w:eastAsia="標楷體" w:hAnsi="標楷體" w:cs="Times New Roman" w:hint="eastAsia"/>
                <w:bCs/>
                <w:sz w:val="28"/>
                <w:szCs w:val="28"/>
                <w:u w:val="single"/>
              </w:rPr>
              <w:t>規定之</w:t>
            </w:r>
            <w:r w:rsidRPr="00D83B0B">
              <w:rPr>
                <w:rFonts w:ascii="標楷體" w:eastAsia="標楷體" w:hAnsi="標楷體" w:cs="Times New Roman"/>
                <w:bCs/>
                <w:sz w:val="28"/>
                <w:szCs w:val="28"/>
                <w:u w:val="single"/>
              </w:rPr>
              <w:t>一</w:t>
            </w:r>
            <w:r w:rsidRPr="00D83B0B">
              <w:rPr>
                <w:rFonts w:ascii="標楷體" w:eastAsia="標楷體" w:hAnsi="標楷體" w:cs="Times New Roman" w:hint="eastAsia"/>
                <w:bCs/>
                <w:sz w:val="28"/>
                <w:szCs w:val="28"/>
                <w:u w:val="single"/>
              </w:rPr>
              <w:t>，或其最近一期經會計師查核或核閱之財務報告總資產超過美元二百億元或淨值超過美元十五億元</w:t>
            </w:r>
            <w:r w:rsidRPr="00D83B0B">
              <w:rPr>
                <w:rFonts w:ascii="標楷體" w:eastAsia="標楷體" w:hAnsi="標楷體" w:cs="Times New Roman"/>
                <w:bCs/>
                <w:sz w:val="28"/>
                <w:szCs w:val="28"/>
                <w:u w:val="single"/>
              </w:rPr>
              <w:t>者</w:t>
            </w:r>
            <w:r w:rsidRPr="00D83B0B">
              <w:rPr>
                <w:rFonts w:ascii="標楷體" w:eastAsia="標楷體" w:hAnsi="標楷體" w:cs="Times New Roman" w:hint="eastAsia"/>
                <w:bCs/>
                <w:sz w:val="28"/>
                <w:szCs w:val="28"/>
                <w:u w:val="single"/>
              </w:rPr>
              <w:t>。</w:t>
            </w:r>
          </w:p>
          <w:p w14:paraId="336DEB85" w14:textId="77777777" w:rsidR="0015425E" w:rsidRPr="00D83B0B" w:rsidRDefault="0015425E" w:rsidP="0015425E">
            <w:pPr>
              <w:pStyle w:val="a8"/>
              <w:widowControl/>
              <w:numPr>
                <w:ilvl w:val="0"/>
                <w:numId w:val="2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lastRenderedPageBreak/>
              <w:t>外國金融機構分支機構：</w:t>
            </w:r>
          </w:p>
          <w:p w14:paraId="1AF11613" w14:textId="1389D2BF" w:rsidR="0015425E" w:rsidRPr="00D83B0B" w:rsidRDefault="0015425E" w:rsidP="0015425E">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1.</w:t>
            </w:r>
            <w:r w:rsidRPr="00D83B0B">
              <w:rPr>
                <w:rFonts w:ascii="標楷體" w:eastAsia="標楷體" w:hAnsi="標楷體" w:cs="Times New Roman" w:hint="eastAsia"/>
                <w:bCs/>
                <w:sz w:val="28"/>
                <w:szCs w:val="28"/>
              </w:rPr>
              <w:t>外國金融機構或其持股母公司符合</w:t>
            </w:r>
            <w:r w:rsidRPr="00D83B0B">
              <w:rPr>
                <w:rFonts w:ascii="標楷體" w:eastAsia="標楷體" w:hAnsi="標楷體" w:cs="Times New Roman" w:hint="eastAsia"/>
                <w:bCs/>
                <w:sz w:val="28"/>
                <w:szCs w:val="28"/>
                <w:u w:val="single"/>
              </w:rPr>
              <w:t>第二款第一目</w:t>
            </w:r>
            <w:r w:rsidR="009D54E0" w:rsidRPr="00D83B0B">
              <w:rPr>
                <w:rFonts w:ascii="標楷體" w:eastAsia="標楷體" w:hAnsi="標楷體" w:cs="Times New Roman" w:hint="eastAsia"/>
                <w:bCs/>
                <w:sz w:val="28"/>
                <w:szCs w:val="28"/>
                <w:u w:val="single"/>
              </w:rPr>
              <w:t>之1、2、3</w:t>
            </w:r>
            <w:r w:rsidRPr="00D83B0B">
              <w:rPr>
                <w:rFonts w:ascii="標楷體" w:eastAsia="標楷體" w:hAnsi="標楷體" w:cs="Times New Roman" w:hint="eastAsia"/>
                <w:bCs/>
                <w:sz w:val="28"/>
                <w:szCs w:val="28"/>
                <w:u w:val="single"/>
              </w:rPr>
              <w:t>規定之</w:t>
            </w:r>
            <w:r w:rsidRPr="00D83B0B">
              <w:rPr>
                <w:rFonts w:ascii="標楷體" w:eastAsia="標楷體" w:hAnsi="標楷體" w:cs="Times New Roman"/>
                <w:bCs/>
                <w:sz w:val="28"/>
                <w:szCs w:val="28"/>
                <w:u w:val="single"/>
              </w:rPr>
              <w:t>一</w:t>
            </w:r>
            <w:r w:rsidRPr="00D83B0B">
              <w:rPr>
                <w:rFonts w:ascii="標楷體" w:eastAsia="標楷體" w:hAnsi="標楷體" w:cs="Times New Roman" w:hint="eastAsia"/>
                <w:bCs/>
                <w:sz w:val="28"/>
                <w:szCs w:val="28"/>
                <w:u w:val="single"/>
              </w:rPr>
              <w:t>，且其總資產或淨值</w:t>
            </w:r>
            <w:proofErr w:type="gramStart"/>
            <w:r w:rsidRPr="00D83B0B">
              <w:rPr>
                <w:rFonts w:ascii="標楷體" w:eastAsia="標楷體" w:hAnsi="標楷體" w:cs="Times New Roman" w:hint="eastAsia"/>
                <w:bCs/>
                <w:sz w:val="28"/>
                <w:szCs w:val="28"/>
                <w:u w:val="single"/>
              </w:rPr>
              <w:t>符合</w:t>
            </w:r>
            <w:r w:rsidR="00785AFC" w:rsidRPr="00D83B0B">
              <w:rPr>
                <w:rFonts w:ascii="標楷體" w:eastAsia="標楷體" w:hAnsi="標楷體" w:cs="Times New Roman" w:hint="eastAsia"/>
                <w:bCs/>
                <w:sz w:val="28"/>
                <w:szCs w:val="28"/>
                <w:u w:val="single"/>
              </w:rPr>
              <w:t>前</w:t>
            </w:r>
            <w:r w:rsidRPr="00D83B0B">
              <w:rPr>
                <w:rFonts w:ascii="標楷體" w:eastAsia="標楷體" w:hAnsi="標楷體" w:cs="Times New Roman" w:hint="eastAsia"/>
                <w:bCs/>
                <w:sz w:val="28"/>
                <w:szCs w:val="28"/>
                <w:u w:val="single"/>
              </w:rPr>
              <w:t>目之</w:t>
            </w:r>
            <w:proofErr w:type="gramEnd"/>
            <w:r w:rsidRPr="00D83B0B">
              <w:rPr>
                <w:rFonts w:ascii="標楷體" w:eastAsia="標楷體" w:hAnsi="標楷體" w:cs="Times New Roman" w:hint="eastAsia"/>
                <w:bCs/>
                <w:sz w:val="28"/>
                <w:szCs w:val="28"/>
                <w:u w:val="single"/>
              </w:rPr>
              <w:t>規定</w:t>
            </w:r>
            <w:r w:rsidRPr="00D83B0B">
              <w:rPr>
                <w:rFonts w:ascii="標楷體" w:eastAsia="標楷體" w:hAnsi="標楷體" w:cs="Times New Roman"/>
                <w:bCs/>
                <w:sz w:val="28"/>
                <w:szCs w:val="28"/>
                <w:u w:val="single"/>
              </w:rPr>
              <w:t>者</w:t>
            </w:r>
            <w:r w:rsidRPr="00D83B0B">
              <w:rPr>
                <w:rFonts w:ascii="標楷體" w:eastAsia="標楷體" w:hAnsi="標楷體" w:cs="Times New Roman" w:hint="eastAsia"/>
                <w:bCs/>
                <w:sz w:val="28"/>
                <w:szCs w:val="28"/>
                <w:u w:val="single"/>
              </w:rPr>
              <w:t>。</w:t>
            </w:r>
          </w:p>
          <w:p w14:paraId="2DE898B1" w14:textId="77777777" w:rsidR="0015425E" w:rsidRPr="00D83B0B" w:rsidRDefault="0015425E" w:rsidP="0015425E">
            <w:pPr>
              <w:pStyle w:val="a8"/>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2.</w:t>
            </w:r>
            <w:r w:rsidRPr="00D83B0B">
              <w:rPr>
                <w:rFonts w:ascii="標楷體" w:eastAsia="標楷體" w:hAnsi="標楷體" w:cs="Times New Roman" w:hint="eastAsia"/>
                <w:bCs/>
                <w:sz w:val="28"/>
                <w:szCs w:val="28"/>
              </w:rPr>
              <w:t>外國金融機構及</w:t>
            </w:r>
            <w:r w:rsidRPr="00D83B0B">
              <w:rPr>
                <w:rFonts w:ascii="標楷體" w:eastAsia="標楷體" w:hAnsi="標楷體" w:cs="Times New Roman" w:hint="eastAsia"/>
                <w:bCs/>
                <w:sz w:val="28"/>
                <w:szCs w:val="28"/>
                <w:u w:val="single"/>
              </w:rPr>
              <w:t>該</w:t>
            </w:r>
            <w:r w:rsidRPr="00D83B0B">
              <w:rPr>
                <w:rFonts w:ascii="標楷體" w:eastAsia="標楷體" w:hAnsi="標楷體" w:cs="Times New Roman" w:hint="eastAsia"/>
                <w:bCs/>
                <w:sz w:val="28"/>
                <w:szCs w:val="28"/>
              </w:rPr>
              <w:t>分支機構依註冊地國之法令規定，得募集與發行本次債券。</w:t>
            </w:r>
          </w:p>
          <w:p w14:paraId="4F368435" w14:textId="77777777" w:rsidR="0015425E" w:rsidRPr="00D83B0B" w:rsidRDefault="0015425E" w:rsidP="0015425E">
            <w:pPr>
              <w:pStyle w:val="a8"/>
              <w:widowControl/>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3.</w:t>
            </w:r>
            <w:r w:rsidRPr="00D83B0B">
              <w:rPr>
                <w:rFonts w:ascii="標楷體" w:eastAsia="標楷體" w:hAnsi="標楷體" w:cs="Times New Roman" w:hint="eastAsia"/>
                <w:bCs/>
                <w:sz w:val="28"/>
                <w:szCs w:val="28"/>
              </w:rPr>
              <w:t>外國金融機構已出具聲明承諾對</w:t>
            </w:r>
            <w:r w:rsidRPr="00D83B0B">
              <w:rPr>
                <w:rFonts w:ascii="標楷體" w:eastAsia="標楷體" w:hAnsi="標楷體" w:cs="Times New Roman" w:hint="eastAsia"/>
                <w:bCs/>
                <w:sz w:val="28"/>
                <w:szCs w:val="28"/>
                <w:u w:val="single"/>
              </w:rPr>
              <w:t>該</w:t>
            </w:r>
            <w:r w:rsidRPr="00D83B0B">
              <w:rPr>
                <w:rFonts w:ascii="標楷體" w:eastAsia="標楷體" w:hAnsi="標楷體" w:cs="Times New Roman" w:hint="eastAsia"/>
                <w:bCs/>
                <w:sz w:val="28"/>
                <w:szCs w:val="28"/>
              </w:rPr>
              <w:t>分支機構發行債券之行為及其債務履行負全部責任</w:t>
            </w:r>
            <w:r w:rsidRPr="00D83B0B">
              <w:rPr>
                <w:rFonts w:ascii="標楷體" w:eastAsia="標楷體" w:hAnsi="標楷體" w:cs="Times New Roman" w:hint="eastAsia"/>
                <w:bCs/>
                <w:sz w:val="28"/>
                <w:szCs w:val="28"/>
                <w:u w:val="single"/>
              </w:rPr>
              <w:t>。</w:t>
            </w:r>
          </w:p>
          <w:p w14:paraId="797AD126" w14:textId="77777777" w:rsidR="0015425E" w:rsidRPr="00D83B0B" w:rsidRDefault="0015425E" w:rsidP="0015425E">
            <w:pPr>
              <w:pStyle w:val="a8"/>
              <w:widowControl/>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82" w:left="960" w:hangingChars="101" w:hanging="283"/>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4.</w:t>
            </w:r>
            <w:r w:rsidRPr="00D83B0B">
              <w:rPr>
                <w:rFonts w:ascii="標楷體" w:eastAsia="標楷體" w:hAnsi="標楷體" w:cs="Times New Roman" w:hint="eastAsia"/>
                <w:bCs/>
                <w:sz w:val="28"/>
                <w:szCs w:val="28"/>
              </w:rPr>
              <w:t>外國金融機構或其持股母公司承諾依主管機關及本中心規定履行公告申報之義務。</w:t>
            </w:r>
          </w:p>
          <w:p w14:paraId="77B68E38" w14:textId="7B68AF13" w:rsidR="0015425E" w:rsidRPr="00D83B0B" w:rsidRDefault="0015425E" w:rsidP="00C86970">
            <w:pPr>
              <w:pStyle w:val="a8"/>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sz w:val="28"/>
                <w:szCs w:val="28"/>
                <w:u w:val="single"/>
              </w:rPr>
            </w:pPr>
            <w:r w:rsidRPr="00D83B0B">
              <w:rPr>
                <w:rFonts w:ascii="標楷體" w:eastAsia="標楷體" w:hAnsi="標楷體" w:cs="Times New Roman" w:hint="eastAsia"/>
                <w:bCs/>
                <w:sz w:val="28"/>
                <w:szCs w:val="28"/>
                <w:u w:val="single"/>
              </w:rPr>
              <w:t>外國金融機構之子公司：為第一目之金融機構直接或間接持有百分之百股份者</w:t>
            </w:r>
            <w:r w:rsidR="00C86970" w:rsidRPr="00D83B0B">
              <w:rPr>
                <w:rFonts w:ascii="標楷體" w:eastAsia="標楷體" w:hAnsi="標楷體" w:hint="eastAsia"/>
                <w:sz w:val="28"/>
                <w:szCs w:val="28"/>
                <w:u w:val="single"/>
              </w:rPr>
              <w:t>，由該金融機構對該債券提供百分之百保證並承諾依主管機關及本中心規定履行公告申報之義務。</w:t>
            </w:r>
          </w:p>
          <w:p w14:paraId="317AFE72" w14:textId="1B5C32B2" w:rsidR="0015425E" w:rsidRPr="00D83B0B" w:rsidRDefault="0015425E" w:rsidP="007E19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jc w:val="both"/>
              <w:rPr>
                <w:rFonts w:ascii="標楷體" w:eastAsia="標楷體" w:hAnsi="標楷體" w:cs="Times New Roman"/>
                <w:bCs/>
                <w:sz w:val="28"/>
                <w:szCs w:val="28"/>
              </w:rPr>
            </w:pPr>
            <w:bookmarkStart w:id="0" w:name="_GoBack"/>
            <w:bookmarkEnd w:id="0"/>
            <w:r w:rsidRPr="00D83B0B">
              <w:rPr>
                <w:rFonts w:ascii="標楷體" w:eastAsia="標楷體" w:hAnsi="標楷體" w:cs="Times New Roman" w:hint="eastAsia"/>
                <w:bCs/>
                <w:sz w:val="28"/>
                <w:szCs w:val="28"/>
              </w:rPr>
              <w:lastRenderedPageBreak/>
              <w:t>前項</w:t>
            </w:r>
            <w:r w:rsidRPr="00D83B0B">
              <w:rPr>
                <w:rFonts w:ascii="標楷體" w:eastAsia="標楷體" w:hAnsi="標楷體" w:cs="Times New Roman" w:hint="eastAsia"/>
                <w:bCs/>
                <w:sz w:val="28"/>
                <w:szCs w:val="28"/>
                <w:u w:val="single"/>
              </w:rPr>
              <w:t>第三款第二目</w:t>
            </w:r>
            <w:r w:rsidRPr="00D83B0B">
              <w:rPr>
                <w:rFonts w:ascii="標楷體" w:eastAsia="標楷體" w:hAnsi="標楷體" w:cs="Times New Roman" w:hint="eastAsia"/>
                <w:bCs/>
                <w:sz w:val="28"/>
                <w:szCs w:val="28"/>
              </w:rPr>
              <w:t>所稱持股母公司係指直接或間接持有該金融機構合計超過半數之股權及表決權，且將其納入合併財務報告編製主體者。</w:t>
            </w:r>
          </w:p>
        </w:tc>
        <w:tc>
          <w:tcPr>
            <w:tcW w:w="1674" w:type="pct"/>
            <w:tcBorders>
              <w:top w:val="single" w:sz="4" w:space="0" w:color="auto"/>
              <w:left w:val="single" w:sz="4" w:space="0" w:color="auto"/>
              <w:bottom w:val="single" w:sz="4" w:space="0" w:color="auto"/>
              <w:right w:val="single" w:sz="4" w:space="0" w:color="auto"/>
            </w:tcBorders>
          </w:tcPr>
          <w:p w14:paraId="568017E1" w14:textId="77777777" w:rsidR="0015425E" w:rsidRPr="00D83B0B" w:rsidRDefault="0015425E" w:rsidP="0015425E">
            <w:pPr>
              <w:widowControl/>
              <w:snapToGrid w:val="0"/>
              <w:spacing w:line="0" w:lineRule="atLeast"/>
              <w:jc w:val="both"/>
              <w:rPr>
                <w:rFonts w:ascii="標楷體" w:eastAsia="標楷體" w:hAnsi="標楷體" w:cs="Times New Roman"/>
                <w:kern w:val="0"/>
                <w:sz w:val="28"/>
                <w:szCs w:val="28"/>
              </w:rPr>
            </w:pPr>
            <w:r w:rsidRPr="00D83B0B">
              <w:rPr>
                <w:rFonts w:ascii="標楷體" w:eastAsia="標楷體" w:hAnsi="標楷體" w:cs="Times New Roman" w:hint="eastAsia"/>
                <w:kern w:val="0"/>
                <w:sz w:val="28"/>
                <w:szCs w:val="28"/>
              </w:rPr>
              <w:lastRenderedPageBreak/>
              <w:t>第四條之</w:t>
            </w:r>
            <w:proofErr w:type="gramStart"/>
            <w:r w:rsidRPr="00D83B0B">
              <w:rPr>
                <w:rFonts w:ascii="標楷體" w:eastAsia="標楷體" w:hAnsi="標楷體" w:cs="Times New Roman" w:hint="eastAsia"/>
                <w:kern w:val="0"/>
                <w:sz w:val="28"/>
                <w:szCs w:val="28"/>
              </w:rPr>
              <w:t>一</w:t>
            </w:r>
            <w:proofErr w:type="gramEnd"/>
          </w:p>
          <w:p w14:paraId="0B2102F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外國發行人在國內募集與發行僅銷售予專業投資人之外幣計價普通公司債，經主管機關核定免依證券交易法第二十二條第一項辦理申報生效者，得依本管理規則規定向本中心申請櫃檯買賣。</w:t>
            </w:r>
          </w:p>
          <w:p w14:paraId="0C7C34C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rPr>
              <w:t>前項外國發行人</w:t>
            </w:r>
            <w:r w:rsidRPr="00D83B0B">
              <w:rPr>
                <w:rFonts w:ascii="標楷體" w:eastAsia="標楷體" w:hAnsi="標楷體" w:cs="Times New Roman" w:hint="eastAsia"/>
                <w:bCs/>
                <w:sz w:val="28"/>
                <w:szCs w:val="28"/>
                <w:u w:val="single"/>
              </w:rPr>
              <w:t>應為依照外國法律組織登記之法人或符合下列所定條件之外國金融機構分支機構：</w:t>
            </w:r>
          </w:p>
          <w:p w14:paraId="14013E63"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EC3271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FC08ADA"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489BCF0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C62D0F5"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5F7196E"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Times New Roman"/>
                <w:bCs/>
                <w:sz w:val="28"/>
                <w:szCs w:val="28"/>
                <w:u w:val="single"/>
              </w:rPr>
            </w:pPr>
          </w:p>
          <w:p w14:paraId="43973CF2"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C09DB4B"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412E9BB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3419BD83"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5A881D3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32D66E0D"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748A7B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957CE48"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8918B14"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32915FD3"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E15E82A"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97843C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5CE5104"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2706C0D3"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4920253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1414CAE"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1279FE7"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82E41F4"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41A4E9C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EAA7E91"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DC66EB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09368C8"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227A0DE"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55320D2"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311EC64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4AA1952"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C9A0BC0"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CC177A1"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5171BC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291754A"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14D632F" w14:textId="77777777" w:rsidR="00D370AB" w:rsidRPr="00D83B0B" w:rsidRDefault="00D370AB"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40E2F0F8" w14:textId="77777777" w:rsidR="00D370AB" w:rsidRPr="00D83B0B" w:rsidRDefault="00D370AB"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5D432D5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752F34E0"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2F0C6026"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8D16581"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642FB537"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1547F765"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04EA8D33" w14:textId="77777777" w:rsidR="009D54E0" w:rsidRPr="00D83B0B" w:rsidRDefault="009D54E0"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cs="Times New Roman"/>
                <w:bCs/>
                <w:sz w:val="28"/>
                <w:szCs w:val="28"/>
                <w:u w:val="single"/>
              </w:rPr>
            </w:pPr>
          </w:p>
          <w:p w14:paraId="2BD00EB2" w14:textId="77777777" w:rsidR="0015425E" w:rsidRPr="00D83B0B" w:rsidRDefault="0015425E" w:rsidP="0015425E">
            <w:pPr>
              <w:pStyle w:val="a8"/>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外國金融機構或其持股母公司符合下列資格條件之</w:t>
            </w:r>
            <w:proofErr w:type="gramStart"/>
            <w:r w:rsidRPr="00D83B0B">
              <w:rPr>
                <w:rFonts w:ascii="標楷體" w:eastAsia="標楷體" w:hAnsi="標楷體" w:cs="Times New Roman" w:hint="eastAsia"/>
                <w:bCs/>
                <w:sz w:val="28"/>
                <w:szCs w:val="28"/>
              </w:rPr>
              <w:t>一</w:t>
            </w:r>
            <w:proofErr w:type="gramEnd"/>
            <w:r w:rsidRPr="00D83B0B">
              <w:rPr>
                <w:rFonts w:ascii="標楷體" w:eastAsia="標楷體" w:hAnsi="標楷體" w:cs="Times New Roman" w:hint="eastAsia"/>
                <w:bCs/>
                <w:sz w:val="28"/>
                <w:szCs w:val="28"/>
              </w:rPr>
              <w:t>者：</w:t>
            </w:r>
          </w:p>
          <w:p w14:paraId="67D0893F"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w:t>
            </w:r>
            <w:proofErr w:type="gramStart"/>
            <w:r w:rsidRPr="00D83B0B">
              <w:rPr>
                <w:rFonts w:ascii="標楷體" w:eastAsia="標楷體" w:hAnsi="標楷體" w:cs="Times New Roman" w:hint="eastAsia"/>
                <w:bCs/>
                <w:sz w:val="28"/>
                <w:szCs w:val="28"/>
                <w:u w:val="single"/>
              </w:rPr>
              <w:t>一</w:t>
            </w:r>
            <w:proofErr w:type="gramEnd"/>
            <w:r w:rsidRPr="00D83B0B">
              <w:rPr>
                <w:rFonts w:ascii="標楷體" w:eastAsia="標楷體" w:hAnsi="標楷體" w:cs="Times New Roman"/>
                <w:bCs/>
                <w:sz w:val="28"/>
                <w:szCs w:val="28"/>
                <w:u w:val="single"/>
              </w:rPr>
              <w:t>)</w:t>
            </w:r>
            <w:r w:rsidRPr="00D83B0B">
              <w:rPr>
                <w:rFonts w:ascii="標楷體" w:eastAsia="標楷體" w:hAnsi="標楷體" w:cs="Times New Roman" w:hint="eastAsia"/>
                <w:bCs/>
                <w:sz w:val="28"/>
                <w:szCs w:val="28"/>
                <w:u w:val="single"/>
              </w:rPr>
              <w:t>股票應已在經主管機關核定之國外證券市場掛牌交易。</w:t>
            </w:r>
          </w:p>
          <w:p w14:paraId="462E13C6"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r w:rsidRPr="00D83B0B">
              <w:rPr>
                <w:rFonts w:ascii="標楷體" w:eastAsia="標楷體" w:hAnsi="標楷體" w:cs="Times New Roman"/>
                <w:bCs/>
                <w:sz w:val="28"/>
                <w:szCs w:val="28"/>
                <w:u w:val="single"/>
              </w:rPr>
              <w:t>(</w:t>
            </w:r>
            <w:r w:rsidRPr="00D83B0B">
              <w:rPr>
                <w:rFonts w:ascii="標楷體" w:eastAsia="標楷體" w:hAnsi="標楷體" w:cs="Times New Roman" w:hint="eastAsia"/>
                <w:bCs/>
                <w:sz w:val="28"/>
                <w:szCs w:val="28"/>
                <w:u w:val="single"/>
              </w:rPr>
              <w:t>二</w:t>
            </w:r>
            <w:r w:rsidRPr="00D83B0B">
              <w:rPr>
                <w:rFonts w:ascii="標楷體" w:eastAsia="標楷體" w:hAnsi="標楷體" w:cs="Times New Roman"/>
                <w:bCs/>
                <w:sz w:val="28"/>
                <w:szCs w:val="28"/>
                <w:u w:val="single"/>
              </w:rPr>
              <w:t>)</w:t>
            </w:r>
            <w:r w:rsidRPr="00D83B0B">
              <w:rPr>
                <w:rFonts w:ascii="標楷體" w:eastAsia="標楷體" w:hAnsi="標楷體" w:cs="Times New Roman" w:hint="eastAsia"/>
                <w:bCs/>
                <w:sz w:val="28"/>
                <w:szCs w:val="28"/>
                <w:u w:val="single"/>
              </w:rPr>
              <w:t>存託憑證應已在經主管機關核定之美國全國性證券交易所掛牌交易，且該存託憑證為參與型第</w:t>
            </w:r>
            <w:r w:rsidRPr="00D83B0B">
              <w:rPr>
                <w:rFonts w:ascii="標楷體" w:eastAsia="標楷體" w:hAnsi="標楷體" w:cs="Times New Roman" w:hint="eastAsia"/>
                <w:bCs/>
                <w:sz w:val="28"/>
                <w:szCs w:val="28"/>
                <w:u w:val="single"/>
              </w:rPr>
              <w:lastRenderedPageBreak/>
              <w:t>二級或參與型第三</w:t>
            </w:r>
            <w:r w:rsidRPr="00D83B0B">
              <w:rPr>
                <w:rFonts w:ascii="標楷體" w:eastAsia="標楷體" w:hAnsi="標楷體" w:cs="Times New Roman"/>
                <w:bCs/>
                <w:sz w:val="28"/>
                <w:szCs w:val="28"/>
                <w:u w:val="single"/>
              </w:rPr>
              <w:t xml:space="preserve">        </w:t>
            </w:r>
            <w:r w:rsidRPr="00D83B0B">
              <w:rPr>
                <w:rFonts w:ascii="標楷體" w:eastAsia="標楷體" w:hAnsi="標楷體" w:cs="Times New Roman" w:hint="eastAsia"/>
                <w:bCs/>
                <w:sz w:val="28"/>
                <w:szCs w:val="28"/>
                <w:u w:val="single"/>
              </w:rPr>
              <w:t>級。</w:t>
            </w:r>
          </w:p>
          <w:p w14:paraId="70B95D42"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123B8E03"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11C3C543"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1E734959"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47D1A30A"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506889F4"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55812EE1" w14:textId="77777777" w:rsidR="0015425E" w:rsidRPr="00D83B0B" w:rsidRDefault="0015425E" w:rsidP="0015425E">
            <w:pPr>
              <w:widowControl/>
              <w:spacing w:line="0" w:lineRule="atLeast"/>
              <w:ind w:leftChars="100" w:left="744" w:hangingChars="180" w:hanging="504"/>
              <w:jc w:val="both"/>
              <w:rPr>
                <w:rFonts w:ascii="標楷體" w:eastAsia="標楷體" w:hAnsi="標楷體" w:cs="Times New Roman"/>
                <w:bCs/>
                <w:sz w:val="28"/>
                <w:szCs w:val="28"/>
                <w:u w:val="single"/>
              </w:rPr>
            </w:pPr>
          </w:p>
          <w:p w14:paraId="3AC9BF62"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66" w:hangingChars="202" w:hanging="566"/>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u w:val="single"/>
              </w:rPr>
              <w:t>二、</w:t>
            </w:r>
            <w:r w:rsidRPr="00D83B0B">
              <w:rPr>
                <w:rFonts w:ascii="標楷體" w:eastAsia="標楷體" w:hAnsi="標楷體" w:cs="Times New Roman" w:hint="eastAsia"/>
                <w:bCs/>
                <w:sz w:val="28"/>
                <w:szCs w:val="28"/>
              </w:rPr>
              <w:t>外國金融機構及</w:t>
            </w:r>
            <w:r w:rsidRPr="00D83B0B">
              <w:rPr>
                <w:rFonts w:ascii="標楷體" w:eastAsia="標楷體" w:hAnsi="標楷體" w:cs="Times New Roman" w:hint="eastAsia"/>
                <w:bCs/>
                <w:sz w:val="28"/>
                <w:szCs w:val="28"/>
                <w:u w:val="single"/>
              </w:rPr>
              <w:t>其</w:t>
            </w:r>
            <w:r w:rsidRPr="00D83B0B">
              <w:rPr>
                <w:rFonts w:ascii="標楷體" w:eastAsia="標楷體" w:hAnsi="標楷體" w:cs="Times New Roman" w:hint="eastAsia"/>
                <w:bCs/>
                <w:sz w:val="28"/>
                <w:szCs w:val="28"/>
              </w:rPr>
              <w:t>分支機構依註冊地國之法令規定，得募集與發行本次債券。</w:t>
            </w:r>
          </w:p>
          <w:p w14:paraId="68BFD429"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66" w:hangingChars="202" w:hanging="566"/>
              <w:jc w:val="both"/>
              <w:rPr>
                <w:rFonts w:ascii="標楷體" w:eastAsia="標楷體" w:hAnsi="標楷體" w:cs="Times New Roman"/>
                <w:bCs/>
                <w:sz w:val="28"/>
                <w:szCs w:val="28"/>
              </w:rPr>
            </w:pPr>
          </w:p>
          <w:p w14:paraId="223B26A0"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66" w:hangingChars="202" w:hanging="566"/>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u w:val="single"/>
              </w:rPr>
              <w:t>三、</w:t>
            </w:r>
            <w:r w:rsidRPr="00D83B0B">
              <w:rPr>
                <w:rFonts w:ascii="標楷體" w:eastAsia="標楷體" w:hAnsi="標楷體" w:cs="Times New Roman" w:hint="eastAsia"/>
                <w:bCs/>
                <w:sz w:val="28"/>
                <w:szCs w:val="28"/>
              </w:rPr>
              <w:t>外國金融機構已出具聲明承諾對</w:t>
            </w:r>
            <w:r w:rsidRPr="00D83B0B">
              <w:rPr>
                <w:rFonts w:ascii="標楷體" w:eastAsia="標楷體" w:hAnsi="標楷體" w:cs="Times New Roman" w:hint="eastAsia"/>
                <w:bCs/>
                <w:sz w:val="28"/>
                <w:szCs w:val="28"/>
                <w:u w:val="single"/>
              </w:rPr>
              <w:t>其</w:t>
            </w:r>
            <w:r w:rsidRPr="00D83B0B">
              <w:rPr>
                <w:rFonts w:ascii="標楷體" w:eastAsia="標楷體" w:hAnsi="標楷體" w:cs="Times New Roman" w:hint="eastAsia"/>
                <w:bCs/>
                <w:sz w:val="28"/>
                <w:szCs w:val="28"/>
              </w:rPr>
              <w:t>分支機構發行債券之行為及其債務履行負全部責任。</w:t>
            </w:r>
          </w:p>
          <w:p w14:paraId="52459A05"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66" w:hangingChars="202" w:hanging="566"/>
              <w:jc w:val="both"/>
              <w:rPr>
                <w:rFonts w:ascii="標楷體" w:eastAsia="標楷體" w:hAnsi="標楷體" w:cs="Times New Roman"/>
                <w:bCs/>
                <w:sz w:val="28"/>
                <w:szCs w:val="28"/>
              </w:rPr>
            </w:pPr>
          </w:p>
          <w:p w14:paraId="5332A01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66" w:hangingChars="202" w:hanging="566"/>
              <w:jc w:val="both"/>
              <w:rPr>
                <w:rFonts w:ascii="標楷體" w:eastAsia="標楷體" w:hAnsi="標楷體" w:cs="Times New Roman"/>
                <w:bCs/>
                <w:sz w:val="28"/>
                <w:szCs w:val="28"/>
                <w:u w:val="single"/>
              </w:rPr>
            </w:pPr>
            <w:r w:rsidRPr="00D83B0B">
              <w:rPr>
                <w:rFonts w:ascii="標楷體" w:eastAsia="標楷體" w:hAnsi="標楷體" w:cs="Times New Roman" w:hint="eastAsia"/>
                <w:bCs/>
                <w:sz w:val="28"/>
                <w:szCs w:val="28"/>
                <w:u w:val="single"/>
              </w:rPr>
              <w:t>四</w:t>
            </w:r>
            <w:r w:rsidRPr="00D83B0B">
              <w:rPr>
                <w:rFonts w:ascii="標楷體" w:eastAsia="標楷體" w:hAnsi="標楷體" w:cs="Times New Roman" w:hint="eastAsia"/>
                <w:bCs/>
                <w:sz w:val="28"/>
                <w:szCs w:val="28"/>
              </w:rPr>
              <w:t>、外國金融機構或其持股母公司承諾依主管機關及本中心規定履行公告申報之義務。</w:t>
            </w:r>
          </w:p>
          <w:p w14:paraId="58353A65"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0D0E27EF"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731EBD3C"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7D4E969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4AF3F8FE"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0CA415E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0DE8C211"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3569D1C8"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37A1A3B3"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4F11CCCA"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78EA3526"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4C05F5DB" w14:textId="77777777" w:rsidR="0015425E" w:rsidRPr="00D83B0B" w:rsidRDefault="0015425E" w:rsidP="001542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63" w:firstLine="456"/>
              <w:jc w:val="both"/>
              <w:rPr>
                <w:rFonts w:ascii="標楷體" w:eastAsia="標楷體" w:hAnsi="標楷體" w:cs="Times New Roman"/>
                <w:bCs/>
                <w:sz w:val="28"/>
                <w:szCs w:val="28"/>
              </w:rPr>
            </w:pPr>
          </w:p>
          <w:p w14:paraId="1BB5A090" w14:textId="77777777" w:rsidR="0015425E" w:rsidRPr="00D83B0B" w:rsidRDefault="0015425E" w:rsidP="007E19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77" w:firstLine="496"/>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lastRenderedPageBreak/>
              <w:t>前項所稱持股母公司係指直接或間接持有該金融機構合計超過半數之股權及表決權，且將其納入合併財務報告編製主體者。</w:t>
            </w:r>
          </w:p>
        </w:tc>
        <w:tc>
          <w:tcPr>
            <w:tcW w:w="1654" w:type="pct"/>
            <w:tcBorders>
              <w:top w:val="single" w:sz="4" w:space="0" w:color="auto"/>
              <w:left w:val="single" w:sz="4" w:space="0" w:color="auto"/>
              <w:bottom w:val="single" w:sz="4" w:space="0" w:color="auto"/>
              <w:right w:val="single" w:sz="4" w:space="0" w:color="auto"/>
            </w:tcBorders>
            <w:hideMark/>
          </w:tcPr>
          <w:p w14:paraId="21DD6B2A" w14:textId="77777777" w:rsidR="0015425E" w:rsidRPr="00D83B0B" w:rsidRDefault="0015425E" w:rsidP="0015425E">
            <w:pPr>
              <w:pStyle w:val="a8"/>
              <w:numPr>
                <w:ilvl w:val="0"/>
                <w:numId w:val="1"/>
              </w:numPr>
              <w:ind w:leftChars="0"/>
              <w:jc w:val="both"/>
              <w:rPr>
                <w:rFonts w:ascii="標楷體" w:eastAsia="標楷體" w:hAnsi="標楷體" w:cs="Times New Roman"/>
                <w:sz w:val="28"/>
                <w:szCs w:val="28"/>
              </w:rPr>
            </w:pPr>
            <w:r w:rsidRPr="00D83B0B">
              <w:rPr>
                <w:rFonts w:ascii="標楷體" w:eastAsia="標楷體" w:hAnsi="標楷體" w:cs="Times New Roman" w:hint="eastAsia"/>
                <w:sz w:val="28"/>
                <w:szCs w:val="28"/>
              </w:rPr>
              <w:lastRenderedPageBreak/>
              <w:t>為明確訂定得來</w:t>
            </w:r>
            <w:proofErr w:type="gramStart"/>
            <w:r w:rsidRPr="00D83B0B">
              <w:rPr>
                <w:rFonts w:ascii="標楷體" w:eastAsia="標楷體" w:hAnsi="標楷體" w:cs="Times New Roman" w:hint="eastAsia"/>
                <w:sz w:val="28"/>
                <w:szCs w:val="28"/>
              </w:rPr>
              <w:t>臺</w:t>
            </w:r>
            <w:proofErr w:type="gramEnd"/>
            <w:r w:rsidRPr="00D83B0B">
              <w:rPr>
                <w:rFonts w:ascii="標楷體" w:eastAsia="標楷體" w:hAnsi="標楷體" w:cs="Times New Roman" w:hint="eastAsia"/>
                <w:sz w:val="28"/>
                <w:szCs w:val="28"/>
              </w:rPr>
              <w:t>發行專業板國際債券之外國發行人範圍及其資格條件，以利市場遵循，並</w:t>
            </w:r>
            <w:proofErr w:type="gramStart"/>
            <w:r w:rsidRPr="00D83B0B">
              <w:rPr>
                <w:rFonts w:ascii="標楷體" w:eastAsia="標楷體" w:hAnsi="標楷體" w:cs="Times New Roman" w:hint="eastAsia"/>
                <w:sz w:val="28"/>
                <w:szCs w:val="28"/>
              </w:rPr>
              <w:t>採</w:t>
            </w:r>
            <w:proofErr w:type="gramEnd"/>
            <w:r w:rsidRPr="00D83B0B">
              <w:rPr>
                <w:rFonts w:ascii="標楷體" w:eastAsia="標楷體" w:hAnsi="標楷體" w:cs="Times New Roman" w:hint="eastAsia"/>
                <w:sz w:val="28"/>
                <w:szCs w:val="28"/>
              </w:rPr>
              <w:t>正面表列方式，以資明確，</w:t>
            </w:r>
            <w:proofErr w:type="gramStart"/>
            <w:r w:rsidRPr="00D83B0B">
              <w:rPr>
                <w:rFonts w:ascii="標楷體" w:eastAsia="標楷體" w:hAnsi="標楷體" w:cs="Times New Roman" w:hint="eastAsia"/>
                <w:sz w:val="28"/>
                <w:szCs w:val="28"/>
              </w:rPr>
              <w:t>爰</w:t>
            </w:r>
            <w:proofErr w:type="gramEnd"/>
            <w:r w:rsidRPr="00D83B0B">
              <w:rPr>
                <w:rFonts w:ascii="標楷體" w:eastAsia="標楷體" w:hAnsi="標楷體" w:cs="Times New Roman"/>
                <w:sz w:val="28"/>
                <w:szCs w:val="28"/>
              </w:rPr>
              <w:t>修正</w:t>
            </w:r>
            <w:r w:rsidRPr="00D83B0B">
              <w:rPr>
                <w:rFonts w:ascii="標楷體" w:eastAsia="標楷體" w:hAnsi="標楷體" w:cs="Times New Roman" w:hint="eastAsia"/>
                <w:sz w:val="28"/>
                <w:szCs w:val="28"/>
              </w:rPr>
              <w:t>第二項規</w:t>
            </w:r>
            <w:r w:rsidRPr="00D83B0B">
              <w:rPr>
                <w:rFonts w:ascii="標楷體" w:eastAsia="標楷體" w:hAnsi="標楷體" w:cs="Times New Roman"/>
                <w:sz w:val="28"/>
                <w:szCs w:val="28"/>
              </w:rPr>
              <w:t>定</w:t>
            </w:r>
            <w:r w:rsidRPr="00D83B0B">
              <w:rPr>
                <w:rFonts w:ascii="標楷體" w:eastAsia="標楷體" w:hAnsi="標楷體" w:cs="Times New Roman" w:hint="eastAsia"/>
                <w:sz w:val="28"/>
                <w:szCs w:val="28"/>
              </w:rPr>
              <w:t>。</w:t>
            </w:r>
          </w:p>
          <w:p w14:paraId="4664DC3C" w14:textId="6F84432B" w:rsidR="0015425E" w:rsidRPr="00D83B0B" w:rsidRDefault="0015425E" w:rsidP="0015425E">
            <w:pPr>
              <w:pStyle w:val="a8"/>
              <w:numPr>
                <w:ilvl w:val="0"/>
                <w:numId w:val="1"/>
              </w:numPr>
              <w:ind w:leftChars="0"/>
              <w:jc w:val="both"/>
              <w:rPr>
                <w:rFonts w:ascii="標楷體" w:eastAsia="標楷體" w:hAnsi="標楷體" w:cs="Times New Roman"/>
                <w:sz w:val="28"/>
                <w:szCs w:val="28"/>
              </w:rPr>
            </w:pPr>
            <w:r w:rsidRPr="00D83B0B">
              <w:rPr>
                <w:rFonts w:ascii="標楷體" w:eastAsia="標楷體" w:hAnsi="標楷體" w:cs="Times New Roman" w:hint="eastAsia"/>
                <w:sz w:val="28"/>
                <w:szCs w:val="28"/>
              </w:rPr>
              <w:t>明</w:t>
            </w:r>
            <w:r w:rsidR="006B3395" w:rsidRPr="00D83B0B">
              <w:rPr>
                <w:rFonts w:ascii="標楷體" w:eastAsia="標楷體" w:hAnsi="標楷體" w:cs="Times New Roman" w:hint="eastAsia"/>
                <w:sz w:val="28"/>
                <w:szCs w:val="28"/>
              </w:rPr>
              <w:t>定</w:t>
            </w:r>
            <w:r w:rsidRPr="00D83B0B">
              <w:rPr>
                <w:rFonts w:ascii="標楷體" w:eastAsia="標楷體" w:hAnsi="標楷體" w:cs="Times New Roman" w:hint="eastAsia"/>
                <w:sz w:val="28"/>
                <w:szCs w:val="28"/>
              </w:rPr>
              <w:t>超國家機構</w:t>
            </w:r>
            <w:r w:rsidR="008437F4" w:rsidRPr="00D83B0B">
              <w:rPr>
                <w:rFonts w:ascii="標楷體" w:eastAsia="標楷體" w:hAnsi="標楷體" w:cs="Times New Roman" w:hint="eastAsia"/>
                <w:sz w:val="28"/>
                <w:szCs w:val="28"/>
              </w:rPr>
              <w:t>(S</w:t>
            </w:r>
            <w:r w:rsidR="008437F4" w:rsidRPr="00D83B0B">
              <w:rPr>
                <w:rFonts w:ascii="標楷體" w:eastAsia="標楷體" w:hAnsi="標楷體" w:cs="Times New Roman"/>
                <w:sz w:val="28"/>
                <w:szCs w:val="28"/>
              </w:rPr>
              <w:t>upranational</w:t>
            </w:r>
            <w:r w:rsidR="008437F4" w:rsidRPr="00D83B0B">
              <w:rPr>
                <w:rFonts w:ascii="標楷體" w:eastAsia="標楷體" w:hAnsi="標楷體" w:cs="Times New Roman" w:hint="eastAsia"/>
                <w:sz w:val="28"/>
                <w:szCs w:val="28"/>
              </w:rPr>
              <w:t>)</w:t>
            </w:r>
            <w:r w:rsidRPr="00D83B0B">
              <w:rPr>
                <w:rFonts w:ascii="標楷體" w:eastAsia="標楷體" w:hAnsi="標楷體" w:cs="Times New Roman"/>
                <w:sz w:val="28"/>
                <w:szCs w:val="28"/>
              </w:rPr>
              <w:t>得來</w:t>
            </w:r>
            <w:proofErr w:type="gramStart"/>
            <w:r w:rsidRPr="00D83B0B">
              <w:rPr>
                <w:rFonts w:ascii="標楷體" w:eastAsia="標楷體" w:hAnsi="標楷體" w:cs="Times New Roman"/>
                <w:sz w:val="28"/>
                <w:szCs w:val="28"/>
              </w:rPr>
              <w:t>臺</w:t>
            </w:r>
            <w:proofErr w:type="gramEnd"/>
            <w:r w:rsidRPr="00D83B0B">
              <w:rPr>
                <w:rFonts w:ascii="標楷體" w:eastAsia="標楷體" w:hAnsi="標楷體" w:cs="Times New Roman"/>
                <w:sz w:val="28"/>
                <w:szCs w:val="28"/>
              </w:rPr>
              <w:t>發行專業板國際債券</w:t>
            </w:r>
            <w:r w:rsidRPr="00D83B0B">
              <w:rPr>
                <w:rFonts w:ascii="標楷體" w:eastAsia="標楷體" w:hAnsi="標楷體" w:cs="Times New Roman" w:hint="eastAsia"/>
                <w:sz w:val="28"/>
                <w:szCs w:val="28"/>
              </w:rPr>
              <w:t>，並列舉超國家機構之範圍，包括</w:t>
            </w:r>
            <w:r w:rsidR="006C7FE8" w:rsidRPr="00D83B0B">
              <w:rPr>
                <w:rFonts w:ascii="標楷體" w:eastAsia="標楷體" w:hAnsi="標楷體" w:cs="Times New Roman" w:hint="eastAsia"/>
                <w:sz w:val="28"/>
                <w:szCs w:val="28"/>
              </w:rPr>
              <w:t>國際</w:t>
            </w:r>
            <w:r w:rsidRPr="00D83B0B">
              <w:rPr>
                <w:rFonts w:ascii="標楷體" w:eastAsia="標楷體" w:hAnsi="標楷體" w:cs="Times New Roman" w:hint="eastAsia"/>
                <w:sz w:val="28"/>
                <w:szCs w:val="28"/>
              </w:rPr>
              <w:t>復興開發銀行（I</w:t>
            </w:r>
            <w:r w:rsidRPr="00D83B0B">
              <w:rPr>
                <w:rFonts w:ascii="標楷體" w:eastAsia="標楷體" w:hAnsi="標楷體" w:cs="Times New Roman"/>
                <w:sz w:val="28"/>
                <w:szCs w:val="28"/>
              </w:rPr>
              <w:t>BRD</w:t>
            </w:r>
            <w:r w:rsidRPr="00D83B0B">
              <w:rPr>
                <w:rFonts w:ascii="標楷體" w:eastAsia="標楷體" w:hAnsi="標楷體" w:cs="Times New Roman" w:hint="eastAsia"/>
                <w:sz w:val="28"/>
                <w:szCs w:val="28"/>
              </w:rPr>
              <w:t>）等多邊國際機構如附表一，</w:t>
            </w:r>
            <w:proofErr w:type="gramStart"/>
            <w:r w:rsidRPr="00D83B0B">
              <w:rPr>
                <w:rFonts w:ascii="標楷體" w:eastAsia="標楷體" w:hAnsi="標楷體" w:cs="Times New Roman" w:hint="eastAsia"/>
                <w:sz w:val="28"/>
                <w:szCs w:val="28"/>
              </w:rPr>
              <w:t>爰</w:t>
            </w:r>
            <w:proofErr w:type="gramEnd"/>
            <w:r w:rsidR="003B6ADC" w:rsidRPr="00D83B0B">
              <w:rPr>
                <w:rFonts w:ascii="標楷體" w:eastAsia="標楷體" w:hAnsi="標楷體" w:cs="Times New Roman" w:hint="eastAsia"/>
                <w:sz w:val="28"/>
                <w:szCs w:val="28"/>
              </w:rPr>
              <w:t>增訂</w:t>
            </w:r>
            <w:r w:rsidRPr="00D83B0B">
              <w:rPr>
                <w:rFonts w:ascii="標楷體" w:eastAsia="標楷體" w:hAnsi="標楷體" w:cs="Times New Roman" w:hint="eastAsia"/>
                <w:sz w:val="28"/>
                <w:szCs w:val="28"/>
              </w:rPr>
              <w:t>第二項第一款規定。</w:t>
            </w:r>
          </w:p>
          <w:p w14:paraId="2661C98F" w14:textId="77777777" w:rsidR="0015425E" w:rsidRPr="00D83B0B" w:rsidRDefault="0015425E" w:rsidP="0015425E">
            <w:pPr>
              <w:pStyle w:val="2"/>
              <w:numPr>
                <w:ilvl w:val="0"/>
                <w:numId w:val="1"/>
              </w:numPr>
              <w:snapToGrid w:val="0"/>
              <w:spacing w:line="0" w:lineRule="atLeast"/>
              <w:ind w:rightChars="2" w:right="5" w:firstLineChars="0"/>
              <w:rPr>
                <w:color w:val="auto"/>
                <w:sz w:val="28"/>
                <w:szCs w:val="28"/>
              </w:rPr>
            </w:pPr>
            <w:r w:rsidRPr="00D83B0B">
              <w:rPr>
                <w:rFonts w:hint="eastAsia"/>
                <w:color w:val="auto"/>
                <w:sz w:val="28"/>
                <w:szCs w:val="28"/>
              </w:rPr>
              <w:t>明</w:t>
            </w:r>
            <w:r w:rsidRPr="00D83B0B">
              <w:rPr>
                <w:color w:val="auto"/>
                <w:sz w:val="28"/>
                <w:szCs w:val="28"/>
              </w:rPr>
              <w:t>定</w:t>
            </w:r>
            <w:r w:rsidRPr="00D83B0B">
              <w:rPr>
                <w:rFonts w:hint="eastAsia"/>
                <w:color w:val="auto"/>
                <w:sz w:val="28"/>
                <w:szCs w:val="28"/>
              </w:rPr>
              <w:t>外國發行人為依照外國法律組織登記或成立之公司</w:t>
            </w:r>
            <w:r w:rsidR="009D54E0" w:rsidRPr="00D83B0B">
              <w:rPr>
                <w:rFonts w:hint="eastAsia"/>
                <w:bCs/>
                <w:color w:val="auto"/>
                <w:sz w:val="28"/>
                <w:szCs w:val="28"/>
              </w:rPr>
              <w:t>或其子公司</w:t>
            </w:r>
            <w:r w:rsidRPr="00D83B0B">
              <w:rPr>
                <w:color w:val="auto"/>
                <w:sz w:val="28"/>
                <w:szCs w:val="28"/>
              </w:rPr>
              <w:t>，亦得來</w:t>
            </w:r>
            <w:proofErr w:type="gramStart"/>
            <w:r w:rsidRPr="00D83B0B">
              <w:rPr>
                <w:color w:val="auto"/>
                <w:sz w:val="28"/>
                <w:szCs w:val="28"/>
              </w:rPr>
              <w:t>臺</w:t>
            </w:r>
            <w:proofErr w:type="gramEnd"/>
            <w:r w:rsidRPr="00D83B0B">
              <w:rPr>
                <w:color w:val="auto"/>
                <w:sz w:val="28"/>
                <w:szCs w:val="28"/>
              </w:rPr>
              <w:t>發行專業板國際債券</w:t>
            </w:r>
            <w:r w:rsidRPr="00D83B0B">
              <w:rPr>
                <w:rFonts w:hint="eastAsia"/>
                <w:color w:val="auto"/>
                <w:sz w:val="28"/>
                <w:szCs w:val="28"/>
              </w:rPr>
              <w:t>:</w:t>
            </w:r>
          </w:p>
          <w:p w14:paraId="107E2BAC" w14:textId="77777777" w:rsidR="009D54E0" w:rsidRPr="00D83B0B" w:rsidRDefault="009D54E0" w:rsidP="0015425E">
            <w:pPr>
              <w:pStyle w:val="2"/>
              <w:numPr>
                <w:ilvl w:val="0"/>
                <w:numId w:val="28"/>
              </w:numPr>
              <w:snapToGrid w:val="0"/>
              <w:spacing w:line="0" w:lineRule="atLeast"/>
              <w:ind w:rightChars="2" w:right="5" w:firstLineChars="0"/>
              <w:rPr>
                <w:color w:val="auto"/>
                <w:sz w:val="28"/>
                <w:szCs w:val="28"/>
              </w:rPr>
            </w:pPr>
            <w:r w:rsidRPr="00D83B0B">
              <w:rPr>
                <w:rFonts w:hint="eastAsia"/>
                <w:bCs/>
                <w:color w:val="auto"/>
                <w:sz w:val="28"/>
                <w:szCs w:val="28"/>
              </w:rPr>
              <w:t>依照外國法律組織登記或成立之公司符合下列資格條件之</w:t>
            </w:r>
            <w:proofErr w:type="gramStart"/>
            <w:r w:rsidRPr="00D83B0B">
              <w:rPr>
                <w:rFonts w:hint="eastAsia"/>
                <w:bCs/>
                <w:color w:val="auto"/>
                <w:sz w:val="28"/>
                <w:szCs w:val="28"/>
              </w:rPr>
              <w:t>一</w:t>
            </w:r>
            <w:proofErr w:type="gramEnd"/>
            <w:r w:rsidRPr="00D83B0B">
              <w:rPr>
                <w:rFonts w:hint="eastAsia"/>
                <w:bCs/>
                <w:color w:val="auto"/>
                <w:sz w:val="28"/>
                <w:szCs w:val="28"/>
              </w:rPr>
              <w:t>者：</w:t>
            </w:r>
          </w:p>
          <w:p w14:paraId="535E2C37" w14:textId="77777777" w:rsidR="0015425E" w:rsidRPr="00D83B0B" w:rsidRDefault="0015425E" w:rsidP="009D54E0">
            <w:pPr>
              <w:pStyle w:val="2"/>
              <w:numPr>
                <w:ilvl w:val="1"/>
                <w:numId w:val="28"/>
              </w:numPr>
              <w:snapToGrid w:val="0"/>
              <w:spacing w:line="0" w:lineRule="atLeast"/>
              <w:ind w:rightChars="2" w:right="5" w:firstLineChars="0"/>
              <w:rPr>
                <w:color w:val="auto"/>
                <w:sz w:val="28"/>
                <w:szCs w:val="28"/>
              </w:rPr>
            </w:pPr>
            <w:r w:rsidRPr="00D83B0B">
              <w:rPr>
                <w:rFonts w:hint="eastAsia"/>
                <w:color w:val="auto"/>
                <w:sz w:val="28"/>
                <w:szCs w:val="28"/>
              </w:rPr>
              <w:t>經參考國外證</w:t>
            </w:r>
            <w:r w:rsidRPr="00D83B0B">
              <w:rPr>
                <w:color w:val="auto"/>
                <w:sz w:val="28"/>
                <w:szCs w:val="28"/>
              </w:rPr>
              <w:t>券</w:t>
            </w:r>
            <w:r w:rsidRPr="00D83B0B">
              <w:rPr>
                <w:rFonts w:hint="eastAsia"/>
                <w:color w:val="auto"/>
                <w:sz w:val="28"/>
                <w:szCs w:val="28"/>
              </w:rPr>
              <w:t>交易所對於發</w:t>
            </w:r>
            <w:r w:rsidRPr="00D83B0B">
              <w:rPr>
                <w:color w:val="auto"/>
                <w:sz w:val="28"/>
                <w:szCs w:val="28"/>
              </w:rPr>
              <w:t>行</w:t>
            </w:r>
            <w:r w:rsidRPr="00D83B0B">
              <w:rPr>
                <w:rFonts w:hint="eastAsia"/>
                <w:color w:val="auto"/>
                <w:sz w:val="28"/>
                <w:szCs w:val="28"/>
              </w:rPr>
              <w:t>專業板債券之規範，明</w:t>
            </w:r>
            <w:r w:rsidRPr="00D83B0B">
              <w:rPr>
                <w:color w:val="auto"/>
                <w:sz w:val="28"/>
                <w:szCs w:val="28"/>
              </w:rPr>
              <w:t>定</w:t>
            </w:r>
            <w:r w:rsidRPr="00D83B0B">
              <w:rPr>
                <w:rFonts w:hint="eastAsia"/>
                <w:color w:val="auto"/>
                <w:sz w:val="28"/>
                <w:szCs w:val="28"/>
              </w:rPr>
              <w:t>外</w:t>
            </w:r>
            <w:r w:rsidRPr="00D83B0B">
              <w:rPr>
                <w:color w:val="auto"/>
                <w:sz w:val="28"/>
                <w:szCs w:val="28"/>
              </w:rPr>
              <w:t>國</w:t>
            </w:r>
            <w:r w:rsidRPr="00D83B0B">
              <w:rPr>
                <w:rFonts w:hint="eastAsia"/>
                <w:color w:val="auto"/>
                <w:sz w:val="28"/>
                <w:szCs w:val="28"/>
              </w:rPr>
              <w:t>公司之股票或存託憑證符</w:t>
            </w:r>
            <w:r w:rsidRPr="00D83B0B">
              <w:rPr>
                <w:color w:val="auto"/>
                <w:sz w:val="28"/>
                <w:szCs w:val="28"/>
              </w:rPr>
              <w:t>合</w:t>
            </w:r>
            <w:r w:rsidRPr="00D83B0B">
              <w:rPr>
                <w:rFonts w:hint="eastAsia"/>
                <w:color w:val="auto"/>
                <w:sz w:val="28"/>
                <w:szCs w:val="28"/>
              </w:rPr>
              <w:t>相關掛牌</w:t>
            </w:r>
            <w:r w:rsidRPr="00D83B0B">
              <w:rPr>
                <w:rFonts w:hint="eastAsia"/>
                <w:color w:val="auto"/>
                <w:sz w:val="28"/>
                <w:szCs w:val="28"/>
              </w:rPr>
              <w:lastRenderedPageBreak/>
              <w:t>規定者</w:t>
            </w:r>
            <w:r w:rsidRPr="00D83B0B">
              <w:rPr>
                <w:color w:val="auto"/>
                <w:sz w:val="28"/>
                <w:szCs w:val="28"/>
              </w:rPr>
              <w:t>，得來</w:t>
            </w:r>
            <w:proofErr w:type="gramStart"/>
            <w:r w:rsidRPr="00D83B0B">
              <w:rPr>
                <w:color w:val="auto"/>
                <w:sz w:val="28"/>
                <w:szCs w:val="28"/>
              </w:rPr>
              <w:t>臺</w:t>
            </w:r>
            <w:proofErr w:type="gramEnd"/>
            <w:r w:rsidRPr="00D83B0B">
              <w:rPr>
                <w:rFonts w:hint="eastAsia"/>
                <w:color w:val="auto"/>
                <w:sz w:val="28"/>
                <w:szCs w:val="28"/>
              </w:rPr>
              <w:t>發</w:t>
            </w:r>
            <w:r w:rsidRPr="00D83B0B">
              <w:rPr>
                <w:color w:val="auto"/>
                <w:sz w:val="28"/>
                <w:szCs w:val="28"/>
              </w:rPr>
              <w:t>行專業板國際債券</w:t>
            </w:r>
            <w:r w:rsidRPr="00D83B0B">
              <w:rPr>
                <w:rFonts w:hint="eastAsia"/>
                <w:color w:val="auto"/>
                <w:sz w:val="28"/>
                <w:szCs w:val="28"/>
              </w:rPr>
              <w:t>，</w:t>
            </w:r>
            <w:proofErr w:type="gramStart"/>
            <w:r w:rsidRPr="00D83B0B">
              <w:rPr>
                <w:rFonts w:hint="eastAsia"/>
                <w:color w:val="auto"/>
                <w:sz w:val="28"/>
                <w:szCs w:val="28"/>
              </w:rPr>
              <w:t>爰</w:t>
            </w:r>
            <w:proofErr w:type="gramEnd"/>
            <w:r w:rsidRPr="00D83B0B">
              <w:rPr>
                <w:rFonts w:hint="eastAsia"/>
                <w:color w:val="auto"/>
                <w:sz w:val="28"/>
                <w:szCs w:val="28"/>
              </w:rPr>
              <w:t>增</w:t>
            </w:r>
            <w:r w:rsidRPr="00D83B0B">
              <w:rPr>
                <w:color w:val="auto"/>
                <w:sz w:val="28"/>
                <w:szCs w:val="28"/>
              </w:rPr>
              <w:t>訂第</w:t>
            </w:r>
            <w:r w:rsidRPr="00D83B0B">
              <w:rPr>
                <w:rFonts w:hint="eastAsia"/>
                <w:color w:val="auto"/>
                <w:sz w:val="28"/>
                <w:szCs w:val="28"/>
              </w:rPr>
              <w:t>二</w:t>
            </w:r>
            <w:r w:rsidRPr="00D83B0B">
              <w:rPr>
                <w:color w:val="auto"/>
                <w:sz w:val="28"/>
                <w:szCs w:val="28"/>
              </w:rPr>
              <w:t>項第二款第一目</w:t>
            </w:r>
            <w:r w:rsidR="009D54E0" w:rsidRPr="00D83B0B">
              <w:rPr>
                <w:rFonts w:hint="eastAsia"/>
                <w:bCs/>
                <w:color w:val="auto"/>
                <w:sz w:val="28"/>
                <w:szCs w:val="28"/>
              </w:rPr>
              <w:t>之1、2、3</w:t>
            </w:r>
            <w:r w:rsidRPr="00D83B0B">
              <w:rPr>
                <w:rFonts w:hint="eastAsia"/>
                <w:color w:val="auto"/>
                <w:sz w:val="28"/>
                <w:szCs w:val="28"/>
              </w:rPr>
              <w:t>規</w:t>
            </w:r>
            <w:r w:rsidRPr="00D83B0B">
              <w:rPr>
                <w:color w:val="auto"/>
                <w:sz w:val="28"/>
                <w:szCs w:val="28"/>
              </w:rPr>
              <w:t>定。</w:t>
            </w:r>
            <w:r w:rsidRPr="00D83B0B">
              <w:rPr>
                <w:rFonts w:hint="eastAsia"/>
                <w:color w:val="auto"/>
                <w:sz w:val="28"/>
                <w:szCs w:val="28"/>
              </w:rPr>
              <w:t>其</w:t>
            </w:r>
            <w:r w:rsidRPr="00D83B0B">
              <w:rPr>
                <w:color w:val="auto"/>
                <w:sz w:val="28"/>
                <w:szCs w:val="28"/>
              </w:rPr>
              <w:t>中</w:t>
            </w:r>
            <w:r w:rsidRPr="00D83B0B">
              <w:rPr>
                <w:rFonts w:hint="eastAsia"/>
                <w:color w:val="auto"/>
                <w:sz w:val="28"/>
                <w:szCs w:val="28"/>
              </w:rPr>
              <w:t>第</w:t>
            </w:r>
            <w:r w:rsidR="009D54E0" w:rsidRPr="00D83B0B">
              <w:rPr>
                <w:rFonts w:hint="eastAsia"/>
                <w:color w:val="auto"/>
                <w:sz w:val="28"/>
                <w:szCs w:val="28"/>
              </w:rPr>
              <w:t>3點</w:t>
            </w:r>
            <w:r w:rsidRPr="00D83B0B">
              <w:rPr>
                <w:rFonts w:hint="eastAsia"/>
                <w:color w:val="auto"/>
                <w:sz w:val="28"/>
                <w:szCs w:val="28"/>
              </w:rPr>
              <w:t>之世界交易所聯合會(World Federation of Exchanges)正式會員(Member)資</w:t>
            </w:r>
            <w:r w:rsidRPr="00D83B0B">
              <w:rPr>
                <w:color w:val="auto"/>
                <w:sz w:val="28"/>
                <w:szCs w:val="28"/>
              </w:rPr>
              <w:t>格</w:t>
            </w:r>
            <w:r w:rsidRPr="00D83B0B">
              <w:rPr>
                <w:rFonts w:hint="eastAsia"/>
                <w:color w:val="auto"/>
                <w:sz w:val="28"/>
                <w:szCs w:val="28"/>
              </w:rPr>
              <w:t>，不包括附屬會員(Affiliate)，且該正式會員之證券主管機關須為國際證券管理機構組織（International Organization of Securities Commission， IOSCO）多邊瞭解備忘錄（</w:t>
            </w:r>
            <w:proofErr w:type="spellStart"/>
            <w:r w:rsidRPr="00D83B0B">
              <w:rPr>
                <w:rFonts w:hint="eastAsia"/>
                <w:color w:val="auto"/>
                <w:sz w:val="28"/>
                <w:szCs w:val="28"/>
              </w:rPr>
              <w:t>MMoU</w:t>
            </w:r>
            <w:proofErr w:type="spellEnd"/>
            <w:r w:rsidRPr="00D83B0B">
              <w:rPr>
                <w:rFonts w:hint="eastAsia"/>
                <w:color w:val="auto"/>
                <w:sz w:val="28"/>
                <w:szCs w:val="28"/>
              </w:rPr>
              <w:t>）之簽署國或地區，</w:t>
            </w:r>
            <w:proofErr w:type="gramStart"/>
            <w:r w:rsidRPr="00D83B0B">
              <w:rPr>
                <w:color w:val="auto"/>
                <w:sz w:val="28"/>
                <w:szCs w:val="28"/>
              </w:rPr>
              <w:t>併予敘</w:t>
            </w:r>
            <w:proofErr w:type="gramEnd"/>
            <w:r w:rsidRPr="00D83B0B">
              <w:rPr>
                <w:color w:val="auto"/>
                <w:sz w:val="28"/>
                <w:szCs w:val="28"/>
              </w:rPr>
              <w:t>明</w:t>
            </w:r>
            <w:r w:rsidRPr="00D83B0B">
              <w:rPr>
                <w:rFonts w:hint="eastAsia"/>
                <w:color w:val="auto"/>
                <w:sz w:val="28"/>
                <w:szCs w:val="28"/>
              </w:rPr>
              <w:t>。</w:t>
            </w:r>
          </w:p>
          <w:p w14:paraId="5ED325CD" w14:textId="77777777" w:rsidR="0015425E" w:rsidRPr="00D83B0B" w:rsidRDefault="0015425E" w:rsidP="00E37665">
            <w:pPr>
              <w:pStyle w:val="2"/>
              <w:numPr>
                <w:ilvl w:val="1"/>
                <w:numId w:val="28"/>
              </w:numPr>
              <w:snapToGrid w:val="0"/>
              <w:spacing w:line="0" w:lineRule="atLeast"/>
              <w:ind w:rightChars="2" w:right="5" w:firstLineChars="0"/>
              <w:rPr>
                <w:color w:val="auto"/>
                <w:sz w:val="28"/>
                <w:szCs w:val="28"/>
              </w:rPr>
            </w:pPr>
            <w:r w:rsidRPr="00D83B0B">
              <w:rPr>
                <w:rFonts w:hint="eastAsia"/>
                <w:color w:val="auto"/>
                <w:sz w:val="28"/>
                <w:szCs w:val="28"/>
              </w:rPr>
              <w:t>參照外國企業來</w:t>
            </w:r>
            <w:proofErr w:type="gramStart"/>
            <w:r w:rsidR="001010C0" w:rsidRPr="00D83B0B">
              <w:rPr>
                <w:rFonts w:hint="eastAsia"/>
                <w:color w:val="auto"/>
                <w:sz w:val="28"/>
                <w:szCs w:val="28"/>
              </w:rPr>
              <w:t>臺</w:t>
            </w:r>
            <w:proofErr w:type="gramEnd"/>
            <w:r w:rsidRPr="00D83B0B">
              <w:rPr>
                <w:rFonts w:hint="eastAsia"/>
                <w:color w:val="auto"/>
                <w:sz w:val="28"/>
                <w:szCs w:val="28"/>
              </w:rPr>
              <w:t>第一上市之淨值規定，增訂外</w:t>
            </w:r>
            <w:r w:rsidRPr="00D83B0B">
              <w:rPr>
                <w:color w:val="auto"/>
                <w:sz w:val="28"/>
                <w:szCs w:val="28"/>
              </w:rPr>
              <w:t>國</w:t>
            </w:r>
            <w:r w:rsidRPr="00D83B0B">
              <w:rPr>
                <w:rFonts w:hint="eastAsia"/>
                <w:color w:val="auto"/>
                <w:sz w:val="28"/>
                <w:szCs w:val="28"/>
              </w:rPr>
              <w:t>公司總資產、淨值符</w:t>
            </w:r>
            <w:r w:rsidRPr="00D83B0B">
              <w:rPr>
                <w:color w:val="auto"/>
                <w:sz w:val="28"/>
                <w:szCs w:val="28"/>
              </w:rPr>
              <w:t>合</w:t>
            </w:r>
            <w:r w:rsidRPr="00D83B0B">
              <w:rPr>
                <w:rFonts w:hint="eastAsia"/>
                <w:color w:val="auto"/>
                <w:sz w:val="28"/>
                <w:szCs w:val="28"/>
              </w:rPr>
              <w:t>門檻者</w:t>
            </w:r>
            <w:r w:rsidRPr="00D83B0B">
              <w:rPr>
                <w:color w:val="auto"/>
                <w:sz w:val="28"/>
                <w:szCs w:val="28"/>
              </w:rPr>
              <w:t>，</w:t>
            </w:r>
            <w:r w:rsidRPr="00D83B0B">
              <w:rPr>
                <w:rFonts w:hint="eastAsia"/>
                <w:color w:val="auto"/>
                <w:sz w:val="28"/>
                <w:szCs w:val="28"/>
              </w:rPr>
              <w:t>亦</w:t>
            </w:r>
            <w:r w:rsidRPr="00D83B0B">
              <w:rPr>
                <w:color w:val="auto"/>
                <w:sz w:val="28"/>
                <w:szCs w:val="28"/>
              </w:rPr>
              <w:t>得來</w:t>
            </w:r>
            <w:proofErr w:type="gramStart"/>
            <w:r w:rsidRPr="00D83B0B">
              <w:rPr>
                <w:color w:val="auto"/>
                <w:sz w:val="28"/>
                <w:szCs w:val="28"/>
              </w:rPr>
              <w:t>臺</w:t>
            </w:r>
            <w:proofErr w:type="gramEnd"/>
            <w:r w:rsidRPr="00D83B0B">
              <w:rPr>
                <w:color w:val="auto"/>
                <w:sz w:val="28"/>
                <w:szCs w:val="28"/>
              </w:rPr>
              <w:t>發行專業板國際債券，</w:t>
            </w:r>
            <w:proofErr w:type="gramStart"/>
            <w:r w:rsidRPr="00D83B0B">
              <w:rPr>
                <w:color w:val="auto"/>
                <w:sz w:val="28"/>
                <w:szCs w:val="28"/>
              </w:rPr>
              <w:t>爰</w:t>
            </w:r>
            <w:proofErr w:type="gramEnd"/>
            <w:r w:rsidRPr="00D83B0B">
              <w:rPr>
                <w:color w:val="auto"/>
                <w:sz w:val="28"/>
                <w:szCs w:val="28"/>
              </w:rPr>
              <w:t>增訂</w:t>
            </w:r>
            <w:r w:rsidRPr="00D83B0B">
              <w:rPr>
                <w:rFonts w:hint="eastAsia"/>
                <w:color w:val="auto"/>
                <w:sz w:val="28"/>
                <w:szCs w:val="28"/>
              </w:rPr>
              <w:t>第</w:t>
            </w:r>
            <w:r w:rsidRPr="00D83B0B">
              <w:rPr>
                <w:color w:val="auto"/>
                <w:sz w:val="28"/>
                <w:szCs w:val="28"/>
              </w:rPr>
              <w:t>二項第二款第</w:t>
            </w:r>
            <w:r w:rsidR="00E37665" w:rsidRPr="00D83B0B">
              <w:rPr>
                <w:rFonts w:hint="eastAsia"/>
                <w:color w:val="auto"/>
                <w:sz w:val="28"/>
                <w:szCs w:val="28"/>
              </w:rPr>
              <w:t>一</w:t>
            </w:r>
            <w:r w:rsidRPr="00D83B0B">
              <w:rPr>
                <w:color w:val="auto"/>
                <w:sz w:val="28"/>
                <w:szCs w:val="28"/>
              </w:rPr>
              <w:t>目</w:t>
            </w:r>
            <w:r w:rsidR="00E37665" w:rsidRPr="00D83B0B">
              <w:rPr>
                <w:rFonts w:hint="eastAsia"/>
                <w:bCs/>
                <w:color w:val="auto"/>
                <w:sz w:val="28"/>
                <w:szCs w:val="28"/>
              </w:rPr>
              <w:t>之4</w:t>
            </w:r>
            <w:r w:rsidRPr="00D83B0B">
              <w:rPr>
                <w:color w:val="auto"/>
                <w:sz w:val="28"/>
                <w:szCs w:val="28"/>
              </w:rPr>
              <w:t>規定</w:t>
            </w:r>
            <w:r w:rsidRPr="00D83B0B">
              <w:rPr>
                <w:rFonts w:hint="eastAsia"/>
                <w:color w:val="auto"/>
                <w:sz w:val="28"/>
                <w:szCs w:val="28"/>
              </w:rPr>
              <w:t>。</w:t>
            </w:r>
          </w:p>
          <w:p w14:paraId="655E11EC" w14:textId="7A116B21" w:rsidR="0015425E" w:rsidRPr="00D83B0B" w:rsidRDefault="0015425E" w:rsidP="0015425E">
            <w:pPr>
              <w:pStyle w:val="2"/>
              <w:numPr>
                <w:ilvl w:val="0"/>
                <w:numId w:val="28"/>
              </w:numPr>
              <w:snapToGrid w:val="0"/>
              <w:spacing w:line="0" w:lineRule="atLeast"/>
              <w:ind w:rightChars="2" w:right="5" w:firstLineChars="0"/>
              <w:rPr>
                <w:color w:val="auto"/>
                <w:sz w:val="28"/>
                <w:szCs w:val="28"/>
              </w:rPr>
            </w:pPr>
            <w:r w:rsidRPr="00D83B0B">
              <w:rPr>
                <w:rFonts w:hint="eastAsia"/>
                <w:color w:val="auto"/>
                <w:sz w:val="28"/>
                <w:szCs w:val="28"/>
              </w:rPr>
              <w:t>考量國際債券市場實務作業需求，明定符合第二項第二款</w:t>
            </w:r>
            <w:r w:rsidRPr="00D83B0B">
              <w:rPr>
                <w:rFonts w:hint="eastAsia"/>
                <w:color w:val="auto"/>
                <w:sz w:val="28"/>
                <w:szCs w:val="28"/>
              </w:rPr>
              <w:lastRenderedPageBreak/>
              <w:t>第一目之公司亦得透過其直接或間接持股百分之百之公司發行專業板國際債券，</w:t>
            </w:r>
            <w:proofErr w:type="gramStart"/>
            <w:r w:rsidRPr="00D83B0B">
              <w:rPr>
                <w:rFonts w:hint="eastAsia"/>
                <w:color w:val="auto"/>
                <w:sz w:val="28"/>
                <w:szCs w:val="28"/>
              </w:rPr>
              <w:t>爰</w:t>
            </w:r>
            <w:proofErr w:type="gramEnd"/>
            <w:r w:rsidRPr="00D83B0B">
              <w:rPr>
                <w:rFonts w:hint="eastAsia"/>
                <w:color w:val="auto"/>
                <w:sz w:val="28"/>
                <w:szCs w:val="28"/>
              </w:rPr>
              <w:t>增訂第二項第二款</w:t>
            </w:r>
            <w:r w:rsidR="005F0501" w:rsidRPr="00D83B0B">
              <w:rPr>
                <w:rFonts w:hint="eastAsia"/>
                <w:color w:val="auto"/>
                <w:sz w:val="28"/>
                <w:szCs w:val="28"/>
              </w:rPr>
              <w:t>第二目</w:t>
            </w:r>
            <w:r w:rsidRPr="00D83B0B">
              <w:rPr>
                <w:rFonts w:hint="eastAsia"/>
                <w:color w:val="auto"/>
                <w:sz w:val="28"/>
                <w:szCs w:val="28"/>
              </w:rPr>
              <w:t>規定。</w:t>
            </w:r>
          </w:p>
          <w:p w14:paraId="64E26C84" w14:textId="77777777" w:rsidR="0015425E" w:rsidRPr="00D83B0B" w:rsidRDefault="0015425E" w:rsidP="0015425E">
            <w:pPr>
              <w:pStyle w:val="a8"/>
              <w:numPr>
                <w:ilvl w:val="0"/>
                <w:numId w:val="1"/>
              </w:numPr>
              <w:ind w:leftChars="0"/>
              <w:jc w:val="both"/>
              <w:rPr>
                <w:rFonts w:ascii="標楷體" w:eastAsia="標楷體" w:hAnsi="標楷體" w:cs="Times New Roman"/>
                <w:sz w:val="28"/>
                <w:szCs w:val="28"/>
              </w:rPr>
            </w:pPr>
            <w:r w:rsidRPr="00D83B0B">
              <w:rPr>
                <w:rFonts w:ascii="標楷體" w:eastAsia="標楷體" w:hAnsi="標楷體" w:cs="Times New Roman" w:hint="eastAsia"/>
                <w:sz w:val="28"/>
                <w:szCs w:val="28"/>
              </w:rPr>
              <w:t>明定外國金融機構、其分支機構或其子公司符合下列資格條件者，亦得來</w:t>
            </w:r>
            <w:proofErr w:type="gramStart"/>
            <w:r w:rsidRPr="00D83B0B">
              <w:rPr>
                <w:rFonts w:ascii="標楷體" w:eastAsia="標楷體" w:hAnsi="標楷體" w:cs="Times New Roman" w:hint="eastAsia"/>
                <w:sz w:val="28"/>
                <w:szCs w:val="28"/>
              </w:rPr>
              <w:t>臺</w:t>
            </w:r>
            <w:proofErr w:type="gramEnd"/>
            <w:r w:rsidRPr="00D83B0B">
              <w:rPr>
                <w:rFonts w:ascii="標楷體" w:eastAsia="標楷體" w:hAnsi="標楷體" w:cs="Times New Roman" w:hint="eastAsia"/>
                <w:sz w:val="28"/>
                <w:szCs w:val="28"/>
              </w:rPr>
              <w:t>發行專業板國際債券：</w:t>
            </w:r>
          </w:p>
          <w:p w14:paraId="5D69DF5D" w14:textId="02A0883E" w:rsidR="0015425E" w:rsidRPr="00D83B0B" w:rsidRDefault="0015425E" w:rsidP="0015425E">
            <w:pPr>
              <w:pStyle w:val="2"/>
              <w:numPr>
                <w:ilvl w:val="0"/>
                <w:numId w:val="30"/>
              </w:numPr>
              <w:snapToGrid w:val="0"/>
              <w:spacing w:line="0" w:lineRule="atLeast"/>
              <w:ind w:rightChars="2" w:right="5" w:firstLineChars="0"/>
              <w:rPr>
                <w:color w:val="auto"/>
                <w:sz w:val="28"/>
                <w:szCs w:val="28"/>
              </w:rPr>
            </w:pPr>
            <w:r w:rsidRPr="00D83B0B">
              <w:rPr>
                <w:rFonts w:hint="eastAsia"/>
                <w:color w:val="auto"/>
                <w:sz w:val="28"/>
                <w:szCs w:val="28"/>
              </w:rPr>
              <w:t>考量金融機構屬於資本密集與特許行業，</w:t>
            </w:r>
            <w:proofErr w:type="gramStart"/>
            <w:r w:rsidRPr="00D83B0B">
              <w:rPr>
                <w:rFonts w:hint="eastAsia"/>
                <w:color w:val="auto"/>
                <w:sz w:val="28"/>
                <w:szCs w:val="28"/>
              </w:rPr>
              <w:t>爰</w:t>
            </w:r>
            <w:proofErr w:type="gramEnd"/>
            <w:r w:rsidRPr="00D83B0B">
              <w:rPr>
                <w:rFonts w:hint="eastAsia"/>
                <w:color w:val="auto"/>
                <w:sz w:val="28"/>
                <w:szCs w:val="28"/>
              </w:rPr>
              <w:t>修正第二項第三款第一目，訂定金融機構應符合全球前五百大銀行近三年之資產與淨值水準</w:t>
            </w:r>
            <w:r w:rsidRPr="00D83B0B">
              <w:rPr>
                <w:rFonts w:cstheme="minorBidi" w:hint="eastAsia"/>
                <w:color w:val="auto"/>
                <w:sz w:val="28"/>
                <w:szCs w:val="28"/>
              </w:rPr>
              <w:t>，或符合</w:t>
            </w:r>
            <w:r w:rsidRPr="00D83B0B">
              <w:rPr>
                <w:color w:val="auto"/>
                <w:sz w:val="28"/>
                <w:szCs w:val="28"/>
              </w:rPr>
              <w:t>第二款第一目</w:t>
            </w:r>
            <w:r w:rsidR="005F0501" w:rsidRPr="00D83B0B">
              <w:rPr>
                <w:rFonts w:hint="eastAsia"/>
                <w:color w:val="auto"/>
                <w:sz w:val="28"/>
                <w:szCs w:val="28"/>
              </w:rPr>
              <w:t>之1、2、3之</w:t>
            </w:r>
            <w:r w:rsidRPr="00D83B0B">
              <w:rPr>
                <w:rFonts w:hint="eastAsia"/>
                <w:color w:val="auto"/>
                <w:sz w:val="28"/>
                <w:szCs w:val="28"/>
              </w:rPr>
              <w:t>掛牌規</w:t>
            </w:r>
            <w:r w:rsidRPr="00D83B0B">
              <w:rPr>
                <w:color w:val="auto"/>
                <w:sz w:val="28"/>
                <w:szCs w:val="28"/>
              </w:rPr>
              <w:t>定</w:t>
            </w:r>
            <w:r w:rsidRPr="00D83B0B">
              <w:rPr>
                <w:rFonts w:hint="eastAsia"/>
                <w:color w:val="auto"/>
                <w:sz w:val="28"/>
                <w:szCs w:val="28"/>
              </w:rPr>
              <w:t>。</w:t>
            </w:r>
          </w:p>
          <w:p w14:paraId="41AAE3B4" w14:textId="77777777" w:rsidR="0015425E" w:rsidRPr="00D83B0B" w:rsidRDefault="0015425E" w:rsidP="0015425E">
            <w:pPr>
              <w:pStyle w:val="2"/>
              <w:numPr>
                <w:ilvl w:val="0"/>
                <w:numId w:val="30"/>
              </w:numPr>
              <w:snapToGrid w:val="0"/>
              <w:spacing w:line="0" w:lineRule="atLeast"/>
              <w:ind w:rightChars="2" w:right="5" w:firstLineChars="0"/>
              <w:rPr>
                <w:color w:val="auto"/>
                <w:sz w:val="28"/>
                <w:szCs w:val="28"/>
              </w:rPr>
            </w:pPr>
            <w:r w:rsidRPr="00D83B0B">
              <w:rPr>
                <w:rFonts w:hint="eastAsia"/>
                <w:color w:val="auto"/>
                <w:sz w:val="28"/>
                <w:szCs w:val="28"/>
              </w:rPr>
              <w:t>外國金融機構分支機構，其總行或其持股母公司之股票或存託憑證應符</w:t>
            </w:r>
            <w:r w:rsidRPr="00D83B0B">
              <w:rPr>
                <w:color w:val="auto"/>
                <w:sz w:val="28"/>
                <w:szCs w:val="28"/>
              </w:rPr>
              <w:t>合</w:t>
            </w:r>
            <w:r w:rsidRPr="00D83B0B">
              <w:rPr>
                <w:rFonts w:hint="eastAsia"/>
                <w:color w:val="auto"/>
                <w:sz w:val="28"/>
                <w:szCs w:val="28"/>
              </w:rPr>
              <w:t>相關掛牌規定，其總資產、淨值亦須達到門檻，且須由外</w:t>
            </w:r>
            <w:r w:rsidRPr="00D83B0B">
              <w:rPr>
                <w:color w:val="auto"/>
                <w:sz w:val="28"/>
                <w:szCs w:val="28"/>
              </w:rPr>
              <w:t>國</w:t>
            </w:r>
            <w:r w:rsidRPr="00D83B0B">
              <w:rPr>
                <w:rFonts w:hint="eastAsia"/>
                <w:color w:val="auto"/>
                <w:sz w:val="28"/>
                <w:szCs w:val="28"/>
              </w:rPr>
              <w:t>金融機構</w:t>
            </w:r>
            <w:r w:rsidRPr="00D83B0B">
              <w:rPr>
                <w:rFonts w:hint="eastAsia"/>
                <w:bCs/>
                <w:color w:val="auto"/>
                <w:sz w:val="28"/>
                <w:szCs w:val="28"/>
              </w:rPr>
              <w:t>出具相</w:t>
            </w:r>
            <w:r w:rsidRPr="00D83B0B">
              <w:rPr>
                <w:bCs/>
                <w:color w:val="auto"/>
                <w:sz w:val="28"/>
                <w:szCs w:val="28"/>
              </w:rPr>
              <w:t>關之</w:t>
            </w:r>
            <w:r w:rsidRPr="00D83B0B">
              <w:rPr>
                <w:rFonts w:hint="eastAsia"/>
                <w:bCs/>
                <w:color w:val="auto"/>
                <w:sz w:val="28"/>
                <w:szCs w:val="28"/>
              </w:rPr>
              <w:t>聲明，</w:t>
            </w:r>
            <w:proofErr w:type="gramStart"/>
            <w:r w:rsidRPr="00D83B0B">
              <w:rPr>
                <w:rFonts w:hint="eastAsia"/>
                <w:bCs/>
                <w:color w:val="auto"/>
                <w:sz w:val="28"/>
                <w:szCs w:val="28"/>
              </w:rPr>
              <w:t>爰</w:t>
            </w:r>
            <w:proofErr w:type="gramEnd"/>
            <w:r w:rsidRPr="00D83B0B">
              <w:rPr>
                <w:rFonts w:hint="eastAsia"/>
                <w:bCs/>
                <w:color w:val="auto"/>
                <w:sz w:val="28"/>
                <w:szCs w:val="28"/>
              </w:rPr>
              <w:t>修正現行條文第二項第一款至第四款，並移列至修正條文第三款第二目。</w:t>
            </w:r>
          </w:p>
          <w:p w14:paraId="53EE3FF7" w14:textId="77777777" w:rsidR="0015425E" w:rsidRPr="00D83B0B" w:rsidRDefault="0015425E" w:rsidP="0015425E">
            <w:pPr>
              <w:pStyle w:val="a8"/>
              <w:numPr>
                <w:ilvl w:val="0"/>
                <w:numId w:val="30"/>
              </w:numPr>
              <w:ind w:leftChars="0"/>
              <w:jc w:val="both"/>
              <w:rPr>
                <w:rFonts w:ascii="標楷體" w:eastAsia="標楷體" w:hAnsi="標楷體" w:cs="Times New Roman"/>
                <w:sz w:val="28"/>
                <w:szCs w:val="28"/>
              </w:rPr>
            </w:pPr>
            <w:r w:rsidRPr="00D83B0B">
              <w:rPr>
                <w:rFonts w:ascii="標楷體" w:eastAsia="標楷體" w:hAnsi="標楷體" w:cs="Times New Roman" w:hint="eastAsia"/>
                <w:sz w:val="28"/>
                <w:szCs w:val="28"/>
              </w:rPr>
              <w:t>明定符合第三款第一目之金融機構，其直接或間接持股百分之百之子公司亦</w:t>
            </w:r>
            <w:r w:rsidRPr="00D83B0B">
              <w:rPr>
                <w:rFonts w:ascii="標楷體" w:eastAsia="標楷體" w:hAnsi="標楷體" w:cs="Times New Roman" w:hint="eastAsia"/>
                <w:sz w:val="28"/>
                <w:szCs w:val="28"/>
              </w:rPr>
              <w:lastRenderedPageBreak/>
              <w:t>得發行專業板國際債券，</w:t>
            </w:r>
            <w:proofErr w:type="gramStart"/>
            <w:r w:rsidRPr="00D83B0B">
              <w:rPr>
                <w:rFonts w:ascii="標楷體" w:eastAsia="標楷體" w:hAnsi="標楷體" w:cs="Times New Roman" w:hint="eastAsia"/>
                <w:sz w:val="28"/>
                <w:szCs w:val="28"/>
              </w:rPr>
              <w:t>爰</w:t>
            </w:r>
            <w:proofErr w:type="gramEnd"/>
            <w:r w:rsidRPr="00D83B0B">
              <w:rPr>
                <w:rFonts w:ascii="標楷體" w:eastAsia="標楷體" w:hAnsi="標楷體" w:cs="Times New Roman" w:hint="eastAsia"/>
                <w:sz w:val="28"/>
                <w:szCs w:val="28"/>
              </w:rPr>
              <w:t>增訂第二項第三款第三目。</w:t>
            </w:r>
          </w:p>
          <w:p w14:paraId="7618BCD2" w14:textId="77777777" w:rsidR="0015425E" w:rsidRPr="00D83B0B" w:rsidRDefault="0015425E" w:rsidP="0015425E">
            <w:pPr>
              <w:pStyle w:val="2"/>
              <w:numPr>
                <w:ilvl w:val="0"/>
                <w:numId w:val="1"/>
              </w:numPr>
              <w:snapToGrid w:val="0"/>
              <w:spacing w:line="0" w:lineRule="atLeast"/>
              <w:ind w:rightChars="2" w:right="5" w:firstLineChars="0"/>
              <w:rPr>
                <w:color w:val="auto"/>
                <w:sz w:val="28"/>
                <w:szCs w:val="28"/>
              </w:rPr>
            </w:pPr>
            <w:r w:rsidRPr="00D83B0B">
              <w:rPr>
                <w:rFonts w:hint="eastAsia"/>
                <w:color w:val="auto"/>
                <w:sz w:val="28"/>
                <w:szCs w:val="28"/>
              </w:rPr>
              <w:t>大</w:t>
            </w:r>
            <w:r w:rsidRPr="00D83B0B">
              <w:rPr>
                <w:color w:val="auto"/>
                <w:sz w:val="28"/>
                <w:szCs w:val="28"/>
              </w:rPr>
              <w:t>陸地區註冊法人</w:t>
            </w:r>
            <w:r w:rsidRPr="00D83B0B">
              <w:rPr>
                <w:rFonts w:hint="eastAsia"/>
                <w:color w:val="auto"/>
                <w:sz w:val="28"/>
                <w:szCs w:val="28"/>
              </w:rPr>
              <w:t>擬</w:t>
            </w:r>
            <w:r w:rsidRPr="00D83B0B">
              <w:rPr>
                <w:color w:val="auto"/>
                <w:sz w:val="28"/>
                <w:szCs w:val="28"/>
              </w:rPr>
              <w:t>在我國境內募集與發行僅銷售予專業投資人之人民幣計價普通公司債</w:t>
            </w:r>
            <w:r w:rsidRPr="00D83B0B">
              <w:rPr>
                <w:rFonts w:hint="eastAsia"/>
                <w:color w:val="auto"/>
                <w:sz w:val="28"/>
                <w:szCs w:val="28"/>
              </w:rPr>
              <w:t>者</w:t>
            </w:r>
            <w:r w:rsidRPr="00D83B0B">
              <w:rPr>
                <w:color w:val="auto"/>
                <w:sz w:val="28"/>
                <w:szCs w:val="28"/>
              </w:rPr>
              <w:t>，</w:t>
            </w:r>
            <w:r w:rsidRPr="00D83B0B">
              <w:rPr>
                <w:rFonts w:hint="eastAsia"/>
                <w:color w:val="auto"/>
                <w:sz w:val="28"/>
                <w:szCs w:val="28"/>
              </w:rPr>
              <w:t>其</w:t>
            </w:r>
            <w:r w:rsidRPr="00D83B0B">
              <w:rPr>
                <w:color w:val="auto"/>
                <w:sz w:val="28"/>
                <w:szCs w:val="28"/>
              </w:rPr>
              <w:t>資格條件</w:t>
            </w:r>
            <w:r w:rsidRPr="00D83B0B">
              <w:rPr>
                <w:rFonts w:hint="eastAsia"/>
                <w:color w:val="auto"/>
                <w:sz w:val="28"/>
                <w:szCs w:val="28"/>
              </w:rPr>
              <w:t>應依金</w:t>
            </w:r>
            <w:r w:rsidRPr="00D83B0B">
              <w:rPr>
                <w:color w:val="auto"/>
                <w:sz w:val="28"/>
                <w:szCs w:val="28"/>
              </w:rPr>
              <w:t>融監督管理</w:t>
            </w:r>
            <w:r w:rsidRPr="00D83B0B">
              <w:rPr>
                <w:rFonts w:hint="eastAsia"/>
                <w:color w:val="auto"/>
                <w:sz w:val="28"/>
                <w:szCs w:val="28"/>
              </w:rPr>
              <w:t>委</w:t>
            </w:r>
            <w:r w:rsidRPr="00D83B0B">
              <w:rPr>
                <w:color w:val="auto"/>
                <w:sz w:val="28"/>
                <w:szCs w:val="28"/>
              </w:rPr>
              <w:t>員會10</w:t>
            </w:r>
            <w:r w:rsidRPr="00D83B0B">
              <w:rPr>
                <w:rFonts w:hint="eastAsia"/>
                <w:color w:val="auto"/>
                <w:sz w:val="28"/>
                <w:szCs w:val="28"/>
              </w:rPr>
              <w:t>5年12月28日</w:t>
            </w:r>
            <w:proofErr w:type="gramStart"/>
            <w:r w:rsidRPr="00D83B0B">
              <w:rPr>
                <w:rFonts w:hint="eastAsia"/>
                <w:color w:val="auto"/>
                <w:sz w:val="28"/>
                <w:szCs w:val="28"/>
              </w:rPr>
              <w:t>金管證發</w:t>
            </w:r>
            <w:proofErr w:type="gramEnd"/>
            <w:r w:rsidRPr="00D83B0B">
              <w:rPr>
                <w:rFonts w:hint="eastAsia"/>
                <w:color w:val="auto"/>
                <w:sz w:val="28"/>
                <w:szCs w:val="28"/>
              </w:rPr>
              <w:t>字第</w:t>
            </w:r>
            <w:r w:rsidRPr="00D83B0B">
              <w:rPr>
                <w:color w:val="auto"/>
                <w:sz w:val="28"/>
                <w:szCs w:val="28"/>
              </w:rPr>
              <w:t>10</w:t>
            </w:r>
            <w:r w:rsidRPr="00D83B0B">
              <w:rPr>
                <w:rFonts w:hint="eastAsia"/>
                <w:color w:val="auto"/>
                <w:sz w:val="28"/>
                <w:szCs w:val="28"/>
              </w:rPr>
              <w:t>50042349號令、本管理規則第</w:t>
            </w:r>
            <w:r w:rsidRPr="00D83B0B">
              <w:rPr>
                <w:color w:val="auto"/>
                <w:sz w:val="28"/>
                <w:szCs w:val="28"/>
              </w:rPr>
              <w:t>三條第</w:t>
            </w:r>
            <w:r w:rsidRPr="00D83B0B">
              <w:rPr>
                <w:rFonts w:hint="eastAsia"/>
                <w:color w:val="auto"/>
                <w:sz w:val="28"/>
                <w:szCs w:val="28"/>
              </w:rPr>
              <w:t>十</w:t>
            </w:r>
            <w:r w:rsidRPr="00D83B0B">
              <w:rPr>
                <w:color w:val="auto"/>
                <w:sz w:val="28"/>
                <w:szCs w:val="28"/>
              </w:rPr>
              <w:t>款</w:t>
            </w:r>
            <w:r w:rsidRPr="00D83B0B">
              <w:rPr>
                <w:rFonts w:hint="eastAsia"/>
                <w:color w:val="auto"/>
                <w:sz w:val="28"/>
                <w:szCs w:val="28"/>
              </w:rPr>
              <w:t>及</w:t>
            </w:r>
            <w:r w:rsidRPr="00D83B0B">
              <w:rPr>
                <w:color w:val="auto"/>
                <w:sz w:val="28"/>
                <w:szCs w:val="28"/>
              </w:rPr>
              <w:t>本中心相關公告辦理</w:t>
            </w:r>
            <w:r w:rsidRPr="00D83B0B">
              <w:rPr>
                <w:rFonts w:hint="eastAsia"/>
                <w:color w:val="auto"/>
                <w:sz w:val="28"/>
                <w:szCs w:val="28"/>
              </w:rPr>
              <w:t>，不</w:t>
            </w:r>
            <w:r w:rsidRPr="00D83B0B">
              <w:rPr>
                <w:color w:val="auto"/>
                <w:sz w:val="28"/>
                <w:szCs w:val="28"/>
              </w:rPr>
              <w:t>適用本條規定，</w:t>
            </w:r>
            <w:proofErr w:type="gramStart"/>
            <w:r w:rsidRPr="00D83B0B">
              <w:rPr>
                <w:color w:val="auto"/>
                <w:sz w:val="28"/>
                <w:szCs w:val="28"/>
              </w:rPr>
              <w:t>併予敘</w:t>
            </w:r>
            <w:proofErr w:type="gramEnd"/>
            <w:r w:rsidRPr="00D83B0B">
              <w:rPr>
                <w:color w:val="auto"/>
                <w:sz w:val="28"/>
                <w:szCs w:val="28"/>
              </w:rPr>
              <w:t>明</w:t>
            </w:r>
            <w:r w:rsidRPr="00D83B0B">
              <w:rPr>
                <w:rFonts w:hint="eastAsia"/>
                <w:color w:val="auto"/>
                <w:sz w:val="28"/>
                <w:szCs w:val="28"/>
              </w:rPr>
              <w:t>。</w:t>
            </w:r>
          </w:p>
        </w:tc>
      </w:tr>
      <w:tr w:rsidR="00D83B0B" w:rsidRPr="00D83B0B" w14:paraId="119C0CD8" w14:textId="77777777" w:rsidTr="00610B3B">
        <w:trPr>
          <w:trHeight w:val="1053"/>
        </w:trPr>
        <w:tc>
          <w:tcPr>
            <w:tcW w:w="1672" w:type="pct"/>
            <w:tcBorders>
              <w:top w:val="single" w:sz="4" w:space="0" w:color="auto"/>
              <w:left w:val="single" w:sz="4" w:space="0" w:color="auto"/>
              <w:bottom w:val="single" w:sz="4" w:space="0" w:color="auto"/>
              <w:right w:val="single" w:sz="4" w:space="0" w:color="auto"/>
            </w:tcBorders>
          </w:tcPr>
          <w:p w14:paraId="529CDAF9" w14:textId="77777777" w:rsidR="0015425E" w:rsidRPr="00D83B0B" w:rsidRDefault="0015425E" w:rsidP="0015425E">
            <w:pPr>
              <w:snapToGrid w:val="0"/>
              <w:ind w:left="328" w:rightChars="45" w:right="108" w:hangingChars="117" w:hanging="328"/>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lastRenderedPageBreak/>
              <w:t>第六條之二</w:t>
            </w:r>
          </w:p>
          <w:p w14:paraId="66896450" w14:textId="77777777" w:rsidR="0015425E" w:rsidRPr="00D83B0B" w:rsidRDefault="0015425E" w:rsidP="0015425E">
            <w:pPr>
              <w:snapToGrid w:val="0"/>
              <w:ind w:rightChars="45" w:right="108" w:firstLineChars="200" w:firstLine="560"/>
              <w:jc w:val="both"/>
              <w:rPr>
                <w:rFonts w:ascii="標楷體" w:eastAsia="標楷體" w:hAnsi="標楷體" w:cs="Times New Roman"/>
                <w:iCs/>
                <w:sz w:val="28"/>
                <w:szCs w:val="28"/>
              </w:rPr>
            </w:pPr>
            <w:r w:rsidRPr="00D83B0B">
              <w:rPr>
                <w:rFonts w:ascii="標楷體" w:eastAsia="標楷體" w:hAnsi="標楷體" w:cs="Times New Roman" w:hint="eastAsia"/>
                <w:bCs/>
                <w:sz w:val="28"/>
                <w:szCs w:val="28"/>
              </w:rPr>
              <w:t>外國發行人</w:t>
            </w:r>
            <w:r w:rsidRPr="00D83B0B">
              <w:rPr>
                <w:rFonts w:ascii="標楷體" w:eastAsia="標楷體" w:hAnsi="標楷體" w:cs="Times New Roman" w:hint="eastAsia"/>
                <w:iCs/>
                <w:sz w:val="28"/>
                <w:szCs w:val="28"/>
              </w:rPr>
              <w:t>符合下列條件時，得發行次順位國際債券：</w:t>
            </w:r>
          </w:p>
          <w:p w14:paraId="44689BB6" w14:textId="057C02FA" w:rsidR="00756114" w:rsidRPr="00D83B0B" w:rsidRDefault="0015425E" w:rsidP="00CC7863">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一、</w:t>
            </w:r>
            <w:r w:rsidR="00CC7863" w:rsidRPr="00D83B0B">
              <w:rPr>
                <w:rFonts w:ascii="標楷體" w:eastAsia="標楷體" w:hAnsi="標楷體" w:cs="Times New Roman" w:hint="eastAsia"/>
                <w:bCs/>
                <w:sz w:val="28"/>
                <w:szCs w:val="28"/>
              </w:rPr>
              <w:t>發行人應為依外國法律組織登記</w:t>
            </w:r>
            <w:r w:rsidR="00CC7863" w:rsidRPr="00D83B0B">
              <w:rPr>
                <w:rFonts w:ascii="標楷體" w:eastAsia="標楷體" w:hAnsi="標楷體" w:cs="Times New Roman" w:hint="eastAsia"/>
                <w:bCs/>
                <w:sz w:val="28"/>
                <w:szCs w:val="28"/>
                <w:u w:val="single"/>
              </w:rPr>
              <w:t>或成立</w:t>
            </w:r>
            <w:r w:rsidR="00CC7863" w:rsidRPr="00D83B0B">
              <w:rPr>
                <w:rFonts w:ascii="標楷體" w:eastAsia="標楷體" w:hAnsi="標楷體" w:cs="Times New Roman" w:hint="eastAsia"/>
                <w:bCs/>
                <w:sz w:val="28"/>
                <w:szCs w:val="28"/>
              </w:rPr>
              <w:t>之銀行或其分支機構，且應符合第四條之一第二項</w:t>
            </w:r>
            <w:r w:rsidR="00CC7863" w:rsidRPr="00D83B0B">
              <w:rPr>
                <w:rFonts w:ascii="標楷體" w:eastAsia="標楷體" w:hAnsi="標楷體" w:cs="Times New Roman" w:hint="eastAsia"/>
                <w:bCs/>
                <w:sz w:val="28"/>
                <w:szCs w:val="28"/>
                <w:u w:val="single"/>
              </w:rPr>
              <w:t>第三款</w:t>
            </w:r>
            <w:r w:rsidR="00CC7863" w:rsidRPr="00D83B0B">
              <w:rPr>
                <w:rFonts w:ascii="標楷體" w:eastAsia="標楷體" w:hAnsi="標楷體" w:cs="Times New Roman" w:hint="eastAsia"/>
                <w:bCs/>
                <w:sz w:val="28"/>
                <w:szCs w:val="28"/>
              </w:rPr>
              <w:t>規定。</w:t>
            </w:r>
          </w:p>
          <w:p w14:paraId="69854109" w14:textId="77777777" w:rsidR="00CC7863" w:rsidRPr="00D83B0B" w:rsidRDefault="00CC7863" w:rsidP="00CC7863">
            <w:pPr>
              <w:snapToGrid w:val="0"/>
              <w:ind w:leftChars="88" w:left="771" w:rightChars="45" w:right="108" w:hangingChars="200" w:hanging="560"/>
              <w:jc w:val="both"/>
              <w:rPr>
                <w:rFonts w:ascii="標楷體" w:eastAsia="標楷體" w:hAnsi="標楷體" w:cs="Times New Roman"/>
                <w:bCs/>
                <w:sz w:val="28"/>
                <w:szCs w:val="28"/>
              </w:rPr>
            </w:pPr>
          </w:p>
          <w:p w14:paraId="30F462D9"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二、發行人應於公開說明書、最終條款及訂價補充說明書中加強資訊揭露。</w:t>
            </w:r>
          </w:p>
          <w:p w14:paraId="2A80EEC8"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三、該國際債券不得為無到期日。</w:t>
            </w:r>
          </w:p>
          <w:p w14:paraId="2F55413B"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四、該國際債券不得含股權相關之轉換</w:t>
            </w:r>
            <w:r w:rsidRPr="00D83B0B">
              <w:rPr>
                <w:rFonts w:ascii="標楷體" w:eastAsia="標楷體" w:hAnsi="標楷體" w:cs="Times New Roman" w:hint="eastAsia"/>
                <w:bCs/>
                <w:sz w:val="28"/>
                <w:szCs w:val="28"/>
              </w:rPr>
              <w:lastRenderedPageBreak/>
              <w:t>權、交換權及認購權等權利或債券</w:t>
            </w:r>
            <w:proofErr w:type="gramStart"/>
            <w:r w:rsidRPr="00D83B0B">
              <w:rPr>
                <w:rFonts w:ascii="標楷體" w:eastAsia="標楷體" w:hAnsi="標楷體" w:cs="Times New Roman" w:hint="eastAsia"/>
                <w:bCs/>
                <w:sz w:val="28"/>
                <w:szCs w:val="28"/>
              </w:rPr>
              <w:t>本金減記之</w:t>
            </w:r>
            <w:proofErr w:type="gramEnd"/>
            <w:r w:rsidRPr="00D83B0B">
              <w:rPr>
                <w:rFonts w:ascii="標楷體" w:eastAsia="標楷體" w:hAnsi="標楷體" w:cs="Times New Roman" w:hint="eastAsia"/>
                <w:bCs/>
                <w:sz w:val="28"/>
                <w:szCs w:val="28"/>
              </w:rPr>
              <w:t>條件。但發行人因無法存續，經其所屬國主管機關認定須轉換為發行人普通股或辦理債券本金減記者，不在此限。</w:t>
            </w:r>
          </w:p>
          <w:p w14:paraId="74B42E5A"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五、該國際債券僅限銷售予第二條之一第一項第一款所稱之專業投資機構。</w:t>
            </w:r>
          </w:p>
          <w:p w14:paraId="3F631C32"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六、發行人申請發行次順位國際債券金額加計總分支機構前已發行次順位國際債券流通在外餘額，不得超過其總分支機構合計之其他國際債券流通在外餘額。</w:t>
            </w:r>
          </w:p>
          <w:p w14:paraId="583D7A69" w14:textId="77777777" w:rsidR="0015425E" w:rsidRPr="00D83B0B" w:rsidRDefault="0015425E" w:rsidP="0015425E">
            <w:pPr>
              <w:snapToGrid w:val="0"/>
              <w:ind w:rightChars="45" w:right="108" w:firstLineChars="200" w:firstLine="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前項</w:t>
            </w:r>
            <w:proofErr w:type="gramStart"/>
            <w:r w:rsidRPr="00D83B0B">
              <w:rPr>
                <w:rFonts w:ascii="標楷體" w:eastAsia="標楷體" w:hAnsi="標楷體" w:cs="Times New Roman" w:hint="eastAsia"/>
                <w:bCs/>
                <w:sz w:val="28"/>
                <w:szCs w:val="28"/>
              </w:rPr>
              <w:t>所稱次順位</w:t>
            </w:r>
            <w:proofErr w:type="gramEnd"/>
            <w:r w:rsidRPr="00D83B0B">
              <w:rPr>
                <w:rFonts w:ascii="標楷體" w:eastAsia="標楷體" w:hAnsi="標楷體" w:cs="Times New Roman" w:hint="eastAsia"/>
                <w:bCs/>
                <w:sz w:val="28"/>
                <w:szCs w:val="28"/>
              </w:rPr>
              <w:t>國際債券係指發行人約定其國際債券之受償順序次於公司其他債權。</w:t>
            </w:r>
          </w:p>
          <w:p w14:paraId="498DFC97" w14:textId="1F5C1CD0" w:rsidR="0015425E" w:rsidRPr="00D83B0B" w:rsidRDefault="00E51F99" w:rsidP="0015425E">
            <w:pPr>
              <w:snapToGrid w:val="0"/>
              <w:ind w:rightChars="45" w:right="108" w:firstLineChars="200" w:firstLine="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 xml:space="preserve">  (本項刪除</w:t>
            </w:r>
            <w:r w:rsidRPr="00D83B0B">
              <w:rPr>
                <w:rFonts w:ascii="標楷體" w:eastAsia="標楷體" w:hAnsi="標楷體" w:cs="Times New Roman"/>
                <w:bCs/>
                <w:sz w:val="28"/>
                <w:szCs w:val="28"/>
              </w:rPr>
              <w:t>)</w:t>
            </w:r>
          </w:p>
        </w:tc>
        <w:tc>
          <w:tcPr>
            <w:tcW w:w="1674" w:type="pct"/>
            <w:tcBorders>
              <w:top w:val="single" w:sz="4" w:space="0" w:color="auto"/>
              <w:left w:val="single" w:sz="4" w:space="0" w:color="auto"/>
              <w:bottom w:val="single" w:sz="4" w:space="0" w:color="auto"/>
              <w:right w:val="single" w:sz="4" w:space="0" w:color="auto"/>
            </w:tcBorders>
          </w:tcPr>
          <w:p w14:paraId="671FFCA7" w14:textId="77777777" w:rsidR="0015425E" w:rsidRPr="00D83B0B" w:rsidRDefault="0015425E" w:rsidP="0015425E">
            <w:pPr>
              <w:snapToGrid w:val="0"/>
              <w:ind w:leftChars="-12" w:left="299" w:rightChars="45" w:right="108" w:hangingChars="117" w:hanging="328"/>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lastRenderedPageBreak/>
              <w:t>第六條之二</w:t>
            </w:r>
          </w:p>
          <w:p w14:paraId="512C7DAA" w14:textId="77777777" w:rsidR="0015425E" w:rsidRPr="00D83B0B" w:rsidRDefault="0015425E" w:rsidP="0015425E">
            <w:pPr>
              <w:snapToGrid w:val="0"/>
              <w:ind w:rightChars="45" w:right="108" w:firstLineChars="200" w:firstLine="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外國發行人符合下列條件時，得發行次順位國際債券：</w:t>
            </w:r>
          </w:p>
          <w:p w14:paraId="32DDCB49"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一、發行人應為依外國法律組織登記之銀行或其分支機構，且</w:t>
            </w:r>
            <w:r w:rsidRPr="00D83B0B">
              <w:rPr>
                <w:rFonts w:ascii="標楷體" w:eastAsia="標楷體" w:hAnsi="標楷體" w:cs="Times New Roman" w:hint="eastAsia"/>
                <w:bCs/>
                <w:sz w:val="28"/>
                <w:szCs w:val="28"/>
                <w:u w:val="single"/>
              </w:rPr>
              <w:t>該銀行或其持股母公司</w:t>
            </w:r>
            <w:r w:rsidRPr="00D83B0B">
              <w:rPr>
                <w:rFonts w:ascii="標楷體" w:eastAsia="標楷體" w:hAnsi="標楷體" w:cs="Times New Roman" w:hint="eastAsia"/>
                <w:bCs/>
                <w:sz w:val="28"/>
                <w:szCs w:val="28"/>
              </w:rPr>
              <w:t>應符合第四條之一第二項</w:t>
            </w:r>
            <w:r w:rsidRPr="00D83B0B">
              <w:rPr>
                <w:rFonts w:ascii="標楷體" w:eastAsia="標楷體" w:hAnsi="標楷體" w:cs="Times New Roman" w:hint="eastAsia"/>
                <w:bCs/>
                <w:sz w:val="28"/>
                <w:szCs w:val="28"/>
                <w:u w:val="single"/>
              </w:rPr>
              <w:t>第一款</w:t>
            </w:r>
            <w:r w:rsidRPr="00D83B0B">
              <w:rPr>
                <w:rFonts w:ascii="標楷體" w:eastAsia="標楷體" w:hAnsi="標楷體" w:cs="Times New Roman" w:hint="eastAsia"/>
                <w:bCs/>
                <w:sz w:val="28"/>
                <w:szCs w:val="28"/>
              </w:rPr>
              <w:t>規定。</w:t>
            </w:r>
          </w:p>
          <w:p w14:paraId="01CC71E9"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二、發行人應於公開說明書、最終條款及訂價補充說明書中加強資訊揭露。</w:t>
            </w:r>
          </w:p>
          <w:p w14:paraId="1B3AA893"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三、該國際債券不得為無到期日。</w:t>
            </w:r>
          </w:p>
          <w:p w14:paraId="3461DA56"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四、該國際債券不得含股權相關之轉換</w:t>
            </w:r>
            <w:r w:rsidRPr="00D83B0B">
              <w:rPr>
                <w:rFonts w:ascii="標楷體" w:eastAsia="標楷體" w:hAnsi="標楷體" w:cs="Times New Roman" w:hint="eastAsia"/>
                <w:bCs/>
                <w:sz w:val="28"/>
                <w:szCs w:val="28"/>
              </w:rPr>
              <w:lastRenderedPageBreak/>
              <w:t>權、交換權及認購權等權利或債券</w:t>
            </w:r>
            <w:proofErr w:type="gramStart"/>
            <w:r w:rsidRPr="00D83B0B">
              <w:rPr>
                <w:rFonts w:ascii="標楷體" w:eastAsia="標楷體" w:hAnsi="標楷體" w:cs="Times New Roman" w:hint="eastAsia"/>
                <w:bCs/>
                <w:sz w:val="28"/>
                <w:szCs w:val="28"/>
              </w:rPr>
              <w:t>本金減記之</w:t>
            </w:r>
            <w:proofErr w:type="gramEnd"/>
            <w:r w:rsidRPr="00D83B0B">
              <w:rPr>
                <w:rFonts w:ascii="標楷體" w:eastAsia="標楷體" w:hAnsi="標楷體" w:cs="Times New Roman" w:hint="eastAsia"/>
                <w:bCs/>
                <w:sz w:val="28"/>
                <w:szCs w:val="28"/>
              </w:rPr>
              <w:t>條件。但發行人因無法存續，經其所屬國主管機關認定須轉換為發行人普通股或辦理債券本金減記者，不在此限。</w:t>
            </w:r>
          </w:p>
          <w:p w14:paraId="2901D1F0"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五、該國際債券僅限銷售予第二條之一第一項第一款所稱之專業投資機構。</w:t>
            </w:r>
          </w:p>
          <w:p w14:paraId="45DF9C9C" w14:textId="77777777" w:rsidR="0015425E" w:rsidRPr="00D83B0B" w:rsidRDefault="0015425E" w:rsidP="0015425E">
            <w:pPr>
              <w:snapToGrid w:val="0"/>
              <w:ind w:leftChars="88" w:left="771" w:rightChars="45" w:right="108" w:hangingChars="200" w:hanging="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六、發行人申請發行次順位國際債券金額加計總分支機構前已發行次順位國際債券流通在外餘額，不得超過其總分支機構合計之其他國際債券流通在外餘額。</w:t>
            </w:r>
          </w:p>
          <w:p w14:paraId="2E87DDE5" w14:textId="77777777" w:rsidR="0015425E" w:rsidRPr="00D83B0B" w:rsidRDefault="0015425E" w:rsidP="0015425E">
            <w:pPr>
              <w:snapToGrid w:val="0"/>
              <w:ind w:rightChars="45" w:right="108" w:firstLineChars="200" w:firstLine="560"/>
              <w:jc w:val="both"/>
              <w:rPr>
                <w:rFonts w:ascii="標楷體" w:eastAsia="標楷體" w:hAnsi="標楷體" w:cs="Times New Roman"/>
                <w:bCs/>
                <w:sz w:val="28"/>
                <w:szCs w:val="28"/>
              </w:rPr>
            </w:pPr>
            <w:r w:rsidRPr="00D83B0B">
              <w:rPr>
                <w:rFonts w:ascii="標楷體" w:eastAsia="標楷體" w:hAnsi="標楷體" w:cs="Times New Roman" w:hint="eastAsia"/>
                <w:bCs/>
                <w:sz w:val="28"/>
                <w:szCs w:val="28"/>
              </w:rPr>
              <w:t>前項</w:t>
            </w:r>
            <w:proofErr w:type="gramStart"/>
            <w:r w:rsidRPr="00D83B0B">
              <w:rPr>
                <w:rFonts w:ascii="標楷體" w:eastAsia="標楷體" w:hAnsi="標楷體" w:cs="Times New Roman" w:hint="eastAsia"/>
                <w:bCs/>
                <w:sz w:val="28"/>
                <w:szCs w:val="28"/>
              </w:rPr>
              <w:t>所稱次順位</w:t>
            </w:r>
            <w:proofErr w:type="gramEnd"/>
            <w:r w:rsidRPr="00D83B0B">
              <w:rPr>
                <w:rFonts w:ascii="標楷體" w:eastAsia="標楷體" w:hAnsi="標楷體" w:cs="Times New Roman" w:hint="eastAsia"/>
                <w:bCs/>
                <w:sz w:val="28"/>
                <w:szCs w:val="28"/>
              </w:rPr>
              <w:t>國際債券係指發行人約定其國際債券之受償順序次於公司其他債權者。</w:t>
            </w:r>
          </w:p>
          <w:p w14:paraId="2D587023" w14:textId="77777777" w:rsidR="0015425E" w:rsidRPr="00D83B0B" w:rsidRDefault="0015425E" w:rsidP="0015425E">
            <w:pPr>
              <w:snapToGrid w:val="0"/>
              <w:ind w:rightChars="45" w:right="108" w:firstLineChars="200" w:firstLine="560"/>
              <w:jc w:val="both"/>
              <w:rPr>
                <w:rFonts w:ascii="標楷體" w:eastAsia="標楷體" w:hAnsi="標楷體" w:cs="Times New Roman"/>
                <w:kern w:val="0"/>
                <w:sz w:val="28"/>
                <w:szCs w:val="28"/>
                <w:u w:val="single"/>
              </w:rPr>
            </w:pPr>
            <w:r w:rsidRPr="00D83B0B">
              <w:rPr>
                <w:rFonts w:ascii="標楷體" w:eastAsia="標楷體" w:hAnsi="標楷體" w:cs="Times New Roman" w:hint="eastAsia"/>
                <w:bCs/>
                <w:sz w:val="28"/>
                <w:szCs w:val="28"/>
                <w:u w:val="single"/>
              </w:rPr>
              <w:t>第一項第一款所稱持股母公司係指直接或間接持有該銀行合計超過半數之股權及表決權，且將其納入合併財務報告編製主體者。</w:t>
            </w:r>
          </w:p>
        </w:tc>
        <w:tc>
          <w:tcPr>
            <w:tcW w:w="1654" w:type="pct"/>
            <w:tcBorders>
              <w:top w:val="single" w:sz="4" w:space="0" w:color="auto"/>
              <w:left w:val="single" w:sz="4" w:space="0" w:color="auto"/>
              <w:bottom w:val="single" w:sz="4" w:space="0" w:color="auto"/>
              <w:right w:val="single" w:sz="4" w:space="0" w:color="auto"/>
            </w:tcBorders>
            <w:hideMark/>
          </w:tcPr>
          <w:p w14:paraId="34D2AF4E" w14:textId="7986E044" w:rsidR="0015425E" w:rsidRPr="00D83B0B" w:rsidRDefault="0015425E" w:rsidP="0015425E">
            <w:pPr>
              <w:pStyle w:val="2"/>
              <w:snapToGrid w:val="0"/>
              <w:spacing w:line="0" w:lineRule="atLeast"/>
              <w:ind w:rightChars="2" w:right="5" w:firstLineChars="0"/>
              <w:rPr>
                <w:color w:val="auto"/>
                <w:sz w:val="28"/>
                <w:szCs w:val="28"/>
              </w:rPr>
            </w:pPr>
            <w:r w:rsidRPr="00D83B0B">
              <w:rPr>
                <w:rFonts w:hint="eastAsia"/>
                <w:color w:val="auto"/>
                <w:sz w:val="28"/>
                <w:szCs w:val="28"/>
              </w:rPr>
              <w:lastRenderedPageBreak/>
              <w:t>配合本次修正第四條之一，以及次順位債券發行人引用金融機構</w:t>
            </w:r>
            <w:r w:rsidR="00756114" w:rsidRPr="00D83B0B">
              <w:rPr>
                <w:rFonts w:hint="eastAsia"/>
                <w:color w:val="auto"/>
                <w:sz w:val="28"/>
                <w:szCs w:val="28"/>
              </w:rPr>
              <w:t>或</w:t>
            </w:r>
            <w:r w:rsidRPr="00D83B0B">
              <w:rPr>
                <w:rFonts w:hint="eastAsia"/>
                <w:color w:val="auto"/>
                <w:sz w:val="28"/>
                <w:szCs w:val="28"/>
              </w:rPr>
              <w:t>分支機構資格條件之</w:t>
            </w:r>
            <w:proofErr w:type="gramStart"/>
            <w:r w:rsidRPr="00D83B0B">
              <w:rPr>
                <w:rFonts w:hint="eastAsia"/>
                <w:color w:val="auto"/>
                <w:sz w:val="28"/>
                <w:szCs w:val="28"/>
              </w:rPr>
              <w:t>規</w:t>
            </w:r>
            <w:proofErr w:type="gramEnd"/>
            <w:r w:rsidRPr="00D83B0B">
              <w:rPr>
                <w:rFonts w:hint="eastAsia"/>
                <w:color w:val="auto"/>
                <w:sz w:val="28"/>
                <w:szCs w:val="28"/>
              </w:rPr>
              <w:t>管原則，調整第一項第一款</w:t>
            </w:r>
            <w:r w:rsidR="001E70E9" w:rsidRPr="00D83B0B">
              <w:rPr>
                <w:rFonts w:hint="eastAsia"/>
                <w:color w:val="auto"/>
                <w:sz w:val="28"/>
                <w:szCs w:val="28"/>
              </w:rPr>
              <w:t>援</w:t>
            </w:r>
            <w:r w:rsidRPr="00D83B0B">
              <w:rPr>
                <w:rFonts w:hint="eastAsia"/>
                <w:color w:val="auto"/>
                <w:sz w:val="28"/>
                <w:szCs w:val="28"/>
              </w:rPr>
              <w:t>引之款次為第四條之一第二項第三款規定，</w:t>
            </w:r>
            <w:r w:rsidRPr="00D83B0B">
              <w:rPr>
                <w:color w:val="auto"/>
                <w:sz w:val="28"/>
                <w:szCs w:val="28"/>
              </w:rPr>
              <w:t>餘</w:t>
            </w:r>
            <w:r w:rsidR="00E51F99" w:rsidRPr="00D83B0B">
              <w:rPr>
                <w:rFonts w:hint="eastAsia"/>
                <w:color w:val="auto"/>
                <w:sz w:val="28"/>
                <w:szCs w:val="28"/>
              </w:rPr>
              <w:t>配合</w:t>
            </w:r>
            <w:r w:rsidR="00B666D4" w:rsidRPr="00D83B0B">
              <w:rPr>
                <w:rFonts w:hint="eastAsia"/>
                <w:color w:val="auto"/>
                <w:sz w:val="28"/>
                <w:szCs w:val="28"/>
              </w:rPr>
              <w:t>調整文字</w:t>
            </w:r>
            <w:r w:rsidRPr="00D83B0B">
              <w:rPr>
                <w:rFonts w:hint="eastAsia"/>
                <w:color w:val="auto"/>
                <w:sz w:val="28"/>
                <w:szCs w:val="28"/>
              </w:rPr>
              <w:t>。</w:t>
            </w:r>
          </w:p>
        </w:tc>
      </w:tr>
    </w:tbl>
    <w:p w14:paraId="2AA57537" w14:textId="77777777" w:rsidR="0015425E" w:rsidRPr="00D83B0B" w:rsidRDefault="0015425E" w:rsidP="0015425E">
      <w:pPr>
        <w:spacing w:line="540" w:lineRule="exact"/>
        <w:jc w:val="both"/>
        <w:rPr>
          <w:rFonts w:ascii="標楷體" w:eastAsia="標楷體" w:hAnsi="標楷體" w:cs="Times New Roman"/>
          <w:sz w:val="28"/>
          <w:szCs w:val="28"/>
        </w:rPr>
        <w:sectPr w:rsidR="0015425E" w:rsidRPr="00D83B0B" w:rsidSect="0015425E">
          <w:headerReference w:type="default" r:id="rId8"/>
          <w:footerReference w:type="default" r:id="rId9"/>
          <w:pgSz w:w="11910" w:h="16840"/>
          <w:pgMar w:top="1219" w:right="1440" w:bottom="238" w:left="1281" w:header="227" w:footer="1247" w:gutter="0"/>
          <w:cols w:space="720"/>
          <w:docGrid w:linePitch="326"/>
        </w:sectPr>
      </w:pPr>
    </w:p>
    <w:p w14:paraId="288E820B" w14:textId="77777777" w:rsidR="0015425E" w:rsidRPr="00D83B0B" w:rsidRDefault="0015425E" w:rsidP="0015425E">
      <w:pPr>
        <w:tabs>
          <w:tab w:val="left" w:pos="1530"/>
        </w:tabs>
        <w:ind w:rightChars="-142" w:right="-341"/>
        <w:jc w:val="center"/>
        <w:rPr>
          <w:rFonts w:ascii="標楷體" w:eastAsia="標楷體" w:hAnsi="標楷體"/>
          <w:sz w:val="28"/>
          <w:szCs w:val="28"/>
        </w:rPr>
      </w:pPr>
      <w:r w:rsidRPr="00D83B0B">
        <w:rPr>
          <w:b/>
          <w:noProof/>
          <w:sz w:val="20"/>
        </w:rPr>
        <w:lastRenderedPageBreak/>
        <mc:AlternateContent>
          <mc:Choice Requires="wps">
            <w:drawing>
              <wp:anchor distT="0" distB="0" distL="114300" distR="114300" simplePos="0" relativeHeight="251659264" behindDoc="0" locked="0" layoutInCell="1" allowOverlap="1" wp14:anchorId="33F458CB" wp14:editId="3FFF2D2D">
                <wp:simplePos x="0" y="0"/>
                <wp:positionH relativeFrom="column">
                  <wp:posOffset>28575</wp:posOffset>
                </wp:positionH>
                <wp:positionV relativeFrom="paragraph">
                  <wp:posOffset>0</wp:posOffset>
                </wp:positionV>
                <wp:extent cx="761996" cy="295275"/>
                <wp:effectExtent l="0" t="0" r="19685" b="28575"/>
                <wp:wrapNone/>
                <wp:docPr id="1" name="Text Box 2"/>
                <wp:cNvGraphicFramePr/>
                <a:graphic xmlns:a="http://schemas.openxmlformats.org/drawingml/2006/main">
                  <a:graphicData uri="http://schemas.microsoft.com/office/word/2010/wordprocessingShape">
                    <wps:wsp>
                      <wps:cNvSpPr txBox="1"/>
                      <wps:spPr>
                        <a:xfrm>
                          <a:off x="0" y="0"/>
                          <a:ext cx="761996" cy="295275"/>
                        </a:xfrm>
                        <a:prstGeom prst="rect">
                          <a:avLst/>
                        </a:prstGeom>
                        <a:solidFill>
                          <a:srgbClr val="FFFFFF"/>
                        </a:solidFill>
                        <a:ln w="9528">
                          <a:solidFill>
                            <a:srgbClr val="000000"/>
                          </a:solidFill>
                          <a:prstDash val="solid"/>
                        </a:ln>
                      </wps:spPr>
                      <wps:txbx>
                        <w:txbxContent>
                          <w:p w14:paraId="0C261085" w14:textId="77777777" w:rsidR="00756114" w:rsidRDefault="00756114" w:rsidP="0015425E">
                            <w:pPr>
                              <w:rPr>
                                <w:rFonts w:eastAsia="標楷體"/>
                              </w:rPr>
                            </w:pPr>
                            <w:r>
                              <w:rPr>
                                <w:rFonts w:eastAsia="標楷體"/>
                              </w:rPr>
                              <w:t>附</w:t>
                            </w:r>
                            <w:r>
                              <w:rPr>
                                <w:rFonts w:eastAsia="標楷體" w:hint="eastAsia"/>
                              </w:rPr>
                              <w:t>表</w:t>
                            </w:r>
                            <w:proofErr w:type="gramStart"/>
                            <w:r>
                              <w:rPr>
                                <w:rFonts w:eastAsia="標楷體" w:hint="eastAsia"/>
                              </w:rPr>
                              <w:t>一</w:t>
                            </w:r>
                            <w:proofErr w:type="gramEnd"/>
                          </w:p>
                        </w:txbxContent>
                      </wps:txbx>
                      <wps:bodyPr wrap="square" lIns="91440" tIns="45720" rIns="91440" bIns="45720" anchor="t">
                        <a:noAutofit/>
                      </wps:bodyPr>
                    </wps:wsp>
                  </a:graphicData>
                </a:graphic>
                <wp14:sizeRelV relativeFrom="margin">
                  <wp14:pctHeight>0</wp14:pctHeight>
                </wp14:sizeRelV>
              </wp:anchor>
            </w:drawing>
          </mc:Choice>
          <mc:Fallback>
            <w:pict>
              <v:shapetype w14:anchorId="33F458CB" id="_x0000_t202" coordsize="21600,21600" o:spt="202" path="m,l,21600r21600,l21600,xe">
                <v:stroke joinstyle="miter"/>
                <v:path gradientshapeok="t" o:connecttype="rect"/>
              </v:shapetype>
              <v:shape id="Text Box 2" o:spid="_x0000_s1026" type="#_x0000_t202" style="position:absolute;left:0;text-align:left;margin-left:2.25pt;margin-top:0;width:60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" strokeweight=".26467mm">
                <v:textbox>
                  <w:txbxContent>
                    <w:p w14:paraId="0C261085" w14:textId="77777777" w:rsidR="00756114" w:rsidRDefault="00756114" w:rsidP="0015425E">
                      <w:pPr>
                        <w:rPr>
                          <w:rFonts w:eastAsia="標楷體"/>
                        </w:rPr>
                      </w:pPr>
                      <w:r>
                        <w:rPr>
                          <w:rFonts w:eastAsia="標楷體"/>
                        </w:rPr>
                        <w:t>附</w:t>
                      </w:r>
                      <w:r>
                        <w:rPr>
                          <w:rFonts w:eastAsia="標楷體" w:hint="eastAsia"/>
                        </w:rPr>
                        <w:t>表</w:t>
                      </w:r>
                      <w:proofErr w:type="gramStart"/>
                      <w:r>
                        <w:rPr>
                          <w:rFonts w:eastAsia="標楷體" w:hint="eastAsia"/>
                        </w:rPr>
                        <w:t>一</w:t>
                      </w:r>
                      <w:proofErr w:type="gramEnd"/>
                    </w:p>
                  </w:txbxContent>
                </v:textbox>
              </v:shape>
            </w:pict>
          </mc:Fallback>
        </mc:AlternateContent>
      </w:r>
      <w:r w:rsidRPr="00D83B0B">
        <w:rPr>
          <w:rFonts w:ascii="標楷體" w:eastAsia="標楷體" w:hAnsi="標楷體" w:hint="eastAsia"/>
          <w:sz w:val="28"/>
          <w:szCs w:val="28"/>
        </w:rPr>
        <w:t>超國家機構名單</w:t>
      </w:r>
    </w:p>
    <w:tbl>
      <w:tblPr>
        <w:tblStyle w:val="a7"/>
        <w:tblpPr w:leftFromText="180" w:rightFromText="180" w:vertAnchor="page" w:horzAnchor="margin" w:tblpXSpec="center" w:tblpY="2236"/>
        <w:tblW w:w="8296" w:type="dxa"/>
        <w:tblLook w:val="04A0" w:firstRow="1" w:lastRow="0" w:firstColumn="1" w:lastColumn="0" w:noHBand="0" w:noVBand="1"/>
      </w:tblPr>
      <w:tblGrid>
        <w:gridCol w:w="704"/>
        <w:gridCol w:w="7592"/>
      </w:tblGrid>
      <w:tr w:rsidR="00D83B0B" w:rsidRPr="00D83B0B" w14:paraId="6AD10A22" w14:textId="77777777" w:rsidTr="0015425E">
        <w:trPr>
          <w:trHeight w:val="406"/>
        </w:trPr>
        <w:tc>
          <w:tcPr>
            <w:tcW w:w="704" w:type="dxa"/>
          </w:tcPr>
          <w:p w14:paraId="7E1FA946"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w:t>
            </w:r>
          </w:p>
        </w:tc>
        <w:tc>
          <w:tcPr>
            <w:tcW w:w="7592" w:type="dxa"/>
          </w:tcPr>
          <w:p w14:paraId="1FADD4FF" w14:textId="77777777" w:rsidR="0015425E" w:rsidRPr="00D83B0B" w:rsidRDefault="00A16343" w:rsidP="0015425E">
            <w:pPr>
              <w:adjustRightInd w:val="0"/>
              <w:snapToGrid w:val="0"/>
              <w:spacing w:line="300" w:lineRule="auto"/>
              <w:ind w:leftChars="-45" w:left="-108"/>
              <w:jc w:val="both"/>
              <w:rPr>
                <w:rFonts w:ascii="Arial" w:eastAsia="標楷體" w:hAnsi="Arial" w:cs="Arial"/>
                <w:sz w:val="28"/>
                <w:szCs w:val="28"/>
              </w:rPr>
            </w:pPr>
            <w:r w:rsidRPr="00D83B0B">
              <w:rPr>
                <w:rFonts w:ascii="Arial" w:eastAsia="標楷體" w:hAnsi="Arial" w:cs="Arial" w:hint="eastAsia"/>
                <w:sz w:val="28"/>
                <w:szCs w:val="28"/>
              </w:rPr>
              <w:t>國際</w:t>
            </w:r>
            <w:r w:rsidR="0015425E" w:rsidRPr="00D83B0B">
              <w:rPr>
                <w:rFonts w:ascii="Arial" w:eastAsia="標楷體" w:hAnsi="Arial" w:cs="Arial"/>
                <w:sz w:val="28"/>
                <w:szCs w:val="28"/>
              </w:rPr>
              <w:t>復興開發銀行</w:t>
            </w:r>
            <w:r w:rsidR="0015425E" w:rsidRPr="00D83B0B">
              <w:rPr>
                <w:rFonts w:ascii="Arial" w:eastAsia="標楷體" w:hAnsi="Arial" w:cs="Arial"/>
                <w:sz w:val="28"/>
                <w:szCs w:val="28"/>
              </w:rPr>
              <w:t>(IBRD)</w:t>
            </w:r>
          </w:p>
        </w:tc>
      </w:tr>
      <w:tr w:rsidR="00D83B0B" w:rsidRPr="00D83B0B" w14:paraId="15ACB614" w14:textId="77777777" w:rsidTr="0015425E">
        <w:trPr>
          <w:trHeight w:val="176"/>
        </w:trPr>
        <w:tc>
          <w:tcPr>
            <w:tcW w:w="704" w:type="dxa"/>
          </w:tcPr>
          <w:p w14:paraId="707EAFD6"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2</w:t>
            </w:r>
          </w:p>
        </w:tc>
        <w:tc>
          <w:tcPr>
            <w:tcW w:w="7592" w:type="dxa"/>
          </w:tcPr>
          <w:p w14:paraId="472C9DC0"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國際金融公司</w:t>
            </w:r>
            <w:r w:rsidRPr="00D83B0B">
              <w:rPr>
                <w:rFonts w:ascii="Arial" w:eastAsia="標楷體" w:hAnsi="Arial" w:cs="Arial"/>
                <w:sz w:val="28"/>
                <w:szCs w:val="28"/>
              </w:rPr>
              <w:t>(IFC)</w:t>
            </w:r>
          </w:p>
        </w:tc>
      </w:tr>
      <w:tr w:rsidR="00D83B0B" w:rsidRPr="00D83B0B" w14:paraId="005FE30D" w14:textId="77777777" w:rsidTr="0015425E">
        <w:trPr>
          <w:trHeight w:val="126"/>
        </w:trPr>
        <w:tc>
          <w:tcPr>
            <w:tcW w:w="704" w:type="dxa"/>
          </w:tcPr>
          <w:p w14:paraId="1DD1E340"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3</w:t>
            </w:r>
          </w:p>
        </w:tc>
        <w:tc>
          <w:tcPr>
            <w:tcW w:w="7592" w:type="dxa"/>
          </w:tcPr>
          <w:p w14:paraId="1807DAC1"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亞洲開發銀行</w:t>
            </w:r>
            <w:r w:rsidRPr="00D83B0B">
              <w:rPr>
                <w:rFonts w:ascii="Arial" w:eastAsia="標楷體" w:hAnsi="Arial" w:cs="Arial"/>
                <w:sz w:val="28"/>
                <w:szCs w:val="28"/>
              </w:rPr>
              <w:t>(ADB)</w:t>
            </w:r>
          </w:p>
        </w:tc>
      </w:tr>
      <w:tr w:rsidR="00D83B0B" w:rsidRPr="00D83B0B" w14:paraId="07B4592F" w14:textId="77777777" w:rsidTr="0015425E">
        <w:trPr>
          <w:trHeight w:val="103"/>
        </w:trPr>
        <w:tc>
          <w:tcPr>
            <w:tcW w:w="704" w:type="dxa"/>
          </w:tcPr>
          <w:p w14:paraId="79962164"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4</w:t>
            </w:r>
          </w:p>
        </w:tc>
        <w:tc>
          <w:tcPr>
            <w:tcW w:w="7592" w:type="dxa"/>
          </w:tcPr>
          <w:p w14:paraId="0F8BF7F6"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非洲開發銀行</w:t>
            </w:r>
            <w:r w:rsidRPr="00D83B0B">
              <w:rPr>
                <w:rFonts w:ascii="Arial" w:eastAsia="標楷體" w:hAnsi="Arial" w:cs="Arial"/>
                <w:sz w:val="28"/>
                <w:szCs w:val="28"/>
              </w:rPr>
              <w:t>(</w:t>
            </w:r>
            <w:proofErr w:type="spellStart"/>
            <w:r w:rsidRPr="00D83B0B">
              <w:rPr>
                <w:rFonts w:ascii="Arial" w:eastAsia="標楷體" w:hAnsi="Arial" w:cs="Arial"/>
                <w:sz w:val="28"/>
                <w:szCs w:val="28"/>
              </w:rPr>
              <w:t>AfDB</w:t>
            </w:r>
            <w:proofErr w:type="spellEnd"/>
            <w:r w:rsidRPr="00D83B0B">
              <w:rPr>
                <w:rFonts w:ascii="Arial" w:eastAsia="標楷體" w:hAnsi="Arial" w:cs="Arial"/>
                <w:sz w:val="28"/>
                <w:szCs w:val="28"/>
              </w:rPr>
              <w:t>)</w:t>
            </w:r>
          </w:p>
        </w:tc>
      </w:tr>
      <w:tr w:rsidR="00D83B0B" w:rsidRPr="00D83B0B" w14:paraId="460B3AE9" w14:textId="77777777" w:rsidTr="0015425E">
        <w:trPr>
          <w:trHeight w:val="337"/>
        </w:trPr>
        <w:tc>
          <w:tcPr>
            <w:tcW w:w="704" w:type="dxa"/>
          </w:tcPr>
          <w:p w14:paraId="2CCE181F"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5</w:t>
            </w:r>
          </w:p>
        </w:tc>
        <w:tc>
          <w:tcPr>
            <w:tcW w:w="7592" w:type="dxa"/>
          </w:tcPr>
          <w:p w14:paraId="79803201"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歐洲復興開發銀行</w:t>
            </w:r>
            <w:r w:rsidRPr="00D83B0B">
              <w:rPr>
                <w:rFonts w:ascii="Arial" w:eastAsia="標楷體" w:hAnsi="Arial" w:cs="Arial"/>
                <w:sz w:val="28"/>
                <w:szCs w:val="28"/>
              </w:rPr>
              <w:t>(EBRD)</w:t>
            </w:r>
          </w:p>
        </w:tc>
      </w:tr>
      <w:tr w:rsidR="00D83B0B" w:rsidRPr="00D83B0B" w14:paraId="62405F9D" w14:textId="77777777" w:rsidTr="0015425E">
        <w:trPr>
          <w:trHeight w:val="467"/>
        </w:trPr>
        <w:tc>
          <w:tcPr>
            <w:tcW w:w="704" w:type="dxa"/>
          </w:tcPr>
          <w:p w14:paraId="37DFE1E0"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6</w:t>
            </w:r>
          </w:p>
        </w:tc>
        <w:tc>
          <w:tcPr>
            <w:tcW w:w="7592" w:type="dxa"/>
          </w:tcPr>
          <w:p w14:paraId="22E91110"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歐洲投資銀行</w:t>
            </w:r>
            <w:r w:rsidRPr="00D83B0B">
              <w:rPr>
                <w:rFonts w:ascii="Arial" w:eastAsia="標楷體" w:hAnsi="Arial" w:cs="Arial"/>
                <w:sz w:val="28"/>
                <w:szCs w:val="28"/>
              </w:rPr>
              <w:t>(EIB)</w:t>
            </w:r>
          </w:p>
        </w:tc>
      </w:tr>
      <w:tr w:rsidR="00D83B0B" w:rsidRPr="00D83B0B" w14:paraId="3A184F95" w14:textId="77777777" w:rsidTr="0015425E">
        <w:trPr>
          <w:trHeight w:val="467"/>
        </w:trPr>
        <w:tc>
          <w:tcPr>
            <w:tcW w:w="704" w:type="dxa"/>
          </w:tcPr>
          <w:p w14:paraId="5AA0EAD7"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7</w:t>
            </w:r>
          </w:p>
        </w:tc>
        <w:tc>
          <w:tcPr>
            <w:tcW w:w="7592" w:type="dxa"/>
          </w:tcPr>
          <w:p w14:paraId="6A5E2E04"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美洲開發銀行</w:t>
            </w:r>
            <w:r w:rsidRPr="00D83B0B">
              <w:rPr>
                <w:rFonts w:ascii="Arial" w:eastAsia="標楷體" w:hAnsi="Arial" w:cs="Arial"/>
                <w:sz w:val="28"/>
                <w:szCs w:val="28"/>
              </w:rPr>
              <w:t>(IADB)</w:t>
            </w:r>
          </w:p>
        </w:tc>
      </w:tr>
      <w:tr w:rsidR="00D83B0B" w:rsidRPr="00D83B0B" w14:paraId="7B0DB9AD" w14:textId="77777777" w:rsidTr="0015425E">
        <w:trPr>
          <w:trHeight w:val="430"/>
        </w:trPr>
        <w:tc>
          <w:tcPr>
            <w:tcW w:w="704" w:type="dxa"/>
          </w:tcPr>
          <w:p w14:paraId="51B1D1D5"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8</w:t>
            </w:r>
          </w:p>
        </w:tc>
        <w:tc>
          <w:tcPr>
            <w:tcW w:w="7592" w:type="dxa"/>
          </w:tcPr>
          <w:p w14:paraId="2DCBB5E4"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拉丁美洲開發銀行</w:t>
            </w:r>
            <w:r w:rsidRPr="00D83B0B">
              <w:rPr>
                <w:rFonts w:ascii="Arial" w:eastAsia="標楷體" w:hAnsi="Arial" w:cs="Arial"/>
                <w:sz w:val="28"/>
                <w:szCs w:val="28"/>
              </w:rPr>
              <w:t>(CAF)</w:t>
            </w:r>
          </w:p>
        </w:tc>
      </w:tr>
      <w:tr w:rsidR="00D83B0B" w:rsidRPr="00D83B0B" w14:paraId="60244F3D" w14:textId="77777777" w:rsidTr="0015425E">
        <w:trPr>
          <w:trHeight w:val="455"/>
        </w:trPr>
        <w:tc>
          <w:tcPr>
            <w:tcW w:w="704" w:type="dxa"/>
          </w:tcPr>
          <w:p w14:paraId="5899177C"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9</w:t>
            </w:r>
          </w:p>
        </w:tc>
        <w:tc>
          <w:tcPr>
            <w:tcW w:w="7592" w:type="dxa"/>
          </w:tcPr>
          <w:p w14:paraId="0426D0C9" w14:textId="77777777" w:rsidR="0015425E" w:rsidRPr="00D83B0B" w:rsidRDefault="0015425E" w:rsidP="00A16343">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hint="eastAsia"/>
                <w:sz w:val="28"/>
                <w:szCs w:val="28"/>
              </w:rPr>
              <w:t>中美洲銀行</w:t>
            </w:r>
            <w:r w:rsidRPr="00D83B0B">
              <w:rPr>
                <w:rFonts w:ascii="Arial" w:eastAsia="標楷體" w:hAnsi="Arial" w:cs="Arial" w:hint="eastAsia"/>
                <w:sz w:val="28"/>
                <w:szCs w:val="28"/>
              </w:rPr>
              <w:t>(CABEI)</w:t>
            </w:r>
          </w:p>
        </w:tc>
      </w:tr>
      <w:tr w:rsidR="00D83B0B" w:rsidRPr="00D83B0B" w14:paraId="76E6DBF7" w14:textId="77777777" w:rsidTr="0015425E">
        <w:trPr>
          <w:trHeight w:val="424"/>
        </w:trPr>
        <w:tc>
          <w:tcPr>
            <w:tcW w:w="704" w:type="dxa"/>
          </w:tcPr>
          <w:p w14:paraId="6C00B50B"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10</w:t>
            </w:r>
          </w:p>
        </w:tc>
        <w:tc>
          <w:tcPr>
            <w:tcW w:w="7592" w:type="dxa"/>
          </w:tcPr>
          <w:p w14:paraId="722E57AF"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歐洲投資基金</w:t>
            </w:r>
            <w:r w:rsidRPr="00D83B0B">
              <w:rPr>
                <w:rFonts w:ascii="Arial" w:eastAsia="標楷體" w:hAnsi="Arial" w:cs="Arial"/>
                <w:sz w:val="28"/>
                <w:szCs w:val="28"/>
              </w:rPr>
              <w:t>(EIF)</w:t>
            </w:r>
          </w:p>
        </w:tc>
      </w:tr>
      <w:tr w:rsidR="00D83B0B" w:rsidRPr="00D83B0B" w14:paraId="5DD738B6" w14:textId="77777777" w:rsidTr="0015425E">
        <w:trPr>
          <w:trHeight w:val="251"/>
        </w:trPr>
        <w:tc>
          <w:tcPr>
            <w:tcW w:w="704" w:type="dxa"/>
          </w:tcPr>
          <w:p w14:paraId="11919BA1"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11</w:t>
            </w:r>
          </w:p>
        </w:tc>
        <w:tc>
          <w:tcPr>
            <w:tcW w:w="7592" w:type="dxa"/>
          </w:tcPr>
          <w:p w14:paraId="1A0C1D92"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北歐投資銀行</w:t>
            </w:r>
            <w:r w:rsidRPr="00D83B0B">
              <w:rPr>
                <w:rFonts w:ascii="Arial" w:eastAsia="標楷體" w:hAnsi="Arial" w:cs="Arial"/>
                <w:sz w:val="28"/>
                <w:szCs w:val="28"/>
              </w:rPr>
              <w:t>(NIB)</w:t>
            </w:r>
          </w:p>
        </w:tc>
      </w:tr>
      <w:tr w:rsidR="00D83B0B" w:rsidRPr="00D83B0B" w14:paraId="6B71A8C8" w14:textId="77777777" w:rsidTr="0015425E">
        <w:trPr>
          <w:trHeight w:val="392"/>
        </w:trPr>
        <w:tc>
          <w:tcPr>
            <w:tcW w:w="704" w:type="dxa"/>
          </w:tcPr>
          <w:p w14:paraId="24A793AF"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12</w:t>
            </w:r>
          </w:p>
        </w:tc>
        <w:tc>
          <w:tcPr>
            <w:tcW w:w="7592" w:type="dxa"/>
          </w:tcPr>
          <w:p w14:paraId="4BD953D3"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加勒比海開發銀行</w:t>
            </w:r>
            <w:r w:rsidRPr="00D83B0B">
              <w:rPr>
                <w:rFonts w:ascii="Arial" w:eastAsia="標楷體" w:hAnsi="Arial" w:cs="Arial"/>
                <w:sz w:val="28"/>
                <w:szCs w:val="28"/>
              </w:rPr>
              <w:t>(CDB)</w:t>
            </w:r>
          </w:p>
        </w:tc>
      </w:tr>
      <w:tr w:rsidR="00D83B0B" w:rsidRPr="00D83B0B" w14:paraId="29D661F3" w14:textId="77777777" w:rsidTr="0015425E">
        <w:trPr>
          <w:trHeight w:val="378"/>
        </w:trPr>
        <w:tc>
          <w:tcPr>
            <w:tcW w:w="704" w:type="dxa"/>
          </w:tcPr>
          <w:p w14:paraId="0264E66A"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13</w:t>
            </w:r>
          </w:p>
        </w:tc>
        <w:tc>
          <w:tcPr>
            <w:tcW w:w="7592" w:type="dxa"/>
          </w:tcPr>
          <w:p w14:paraId="73E81765" w14:textId="07A4599A" w:rsidR="0015425E" w:rsidRPr="00D83B0B" w:rsidRDefault="0015425E" w:rsidP="00AB2150">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sz w:val="28"/>
                <w:szCs w:val="28"/>
              </w:rPr>
              <w:t>歐洲</w:t>
            </w:r>
            <w:r w:rsidR="00CF4936" w:rsidRPr="00D83B0B">
              <w:rPr>
                <w:rFonts w:ascii="Arial" w:eastAsia="標楷體" w:hAnsi="Arial" w:cs="Arial"/>
                <w:sz w:val="28"/>
                <w:szCs w:val="28"/>
              </w:rPr>
              <w:t>理事會</w:t>
            </w:r>
            <w:r w:rsidRPr="00D83B0B">
              <w:rPr>
                <w:rFonts w:ascii="Arial" w:eastAsia="標楷體" w:hAnsi="Arial" w:cs="Arial"/>
                <w:sz w:val="28"/>
                <w:szCs w:val="28"/>
              </w:rPr>
              <w:t>開發銀行</w:t>
            </w:r>
            <w:r w:rsidRPr="00D83B0B">
              <w:rPr>
                <w:rFonts w:ascii="Arial" w:eastAsia="標楷體" w:hAnsi="Arial" w:cs="Arial"/>
                <w:sz w:val="28"/>
                <w:szCs w:val="28"/>
              </w:rPr>
              <w:t>(CEB)</w:t>
            </w:r>
          </w:p>
        </w:tc>
      </w:tr>
      <w:tr w:rsidR="00D83B0B" w:rsidRPr="00D83B0B" w14:paraId="17FE23C5" w14:textId="77777777" w:rsidTr="0015425E">
        <w:trPr>
          <w:trHeight w:val="276"/>
        </w:trPr>
        <w:tc>
          <w:tcPr>
            <w:tcW w:w="704" w:type="dxa"/>
          </w:tcPr>
          <w:p w14:paraId="2078732F" w14:textId="77777777" w:rsidR="0015425E" w:rsidRPr="00D83B0B" w:rsidRDefault="0015425E" w:rsidP="0015425E">
            <w:pPr>
              <w:adjustRightInd w:val="0"/>
              <w:snapToGrid w:val="0"/>
              <w:spacing w:line="300" w:lineRule="auto"/>
              <w:ind w:leftChars="-45" w:left="-108"/>
              <w:jc w:val="center"/>
              <w:rPr>
                <w:rFonts w:ascii="Arial" w:eastAsia="標楷體" w:hAnsi="Arial" w:cs="Arial"/>
                <w:sz w:val="28"/>
                <w:szCs w:val="28"/>
              </w:rPr>
            </w:pPr>
            <w:r w:rsidRPr="00D83B0B">
              <w:rPr>
                <w:rFonts w:ascii="Arial" w:eastAsia="標楷體" w:hAnsi="Arial" w:cs="Arial" w:hint="eastAsia"/>
                <w:sz w:val="28"/>
                <w:szCs w:val="28"/>
              </w:rPr>
              <w:t>14</w:t>
            </w:r>
          </w:p>
        </w:tc>
        <w:tc>
          <w:tcPr>
            <w:tcW w:w="7592" w:type="dxa"/>
          </w:tcPr>
          <w:p w14:paraId="47E785A0" w14:textId="77777777" w:rsidR="0015425E" w:rsidRPr="00D83B0B" w:rsidRDefault="0015425E" w:rsidP="0015425E">
            <w:pPr>
              <w:adjustRightInd w:val="0"/>
              <w:snapToGrid w:val="0"/>
              <w:spacing w:line="300" w:lineRule="auto"/>
              <w:ind w:leftChars="-45" w:left="-108"/>
              <w:rPr>
                <w:rFonts w:ascii="Arial" w:eastAsia="標楷體" w:hAnsi="Arial" w:cs="Arial"/>
                <w:sz w:val="28"/>
                <w:szCs w:val="28"/>
              </w:rPr>
            </w:pPr>
            <w:r w:rsidRPr="00D83B0B">
              <w:rPr>
                <w:rFonts w:ascii="Arial" w:eastAsia="標楷體" w:hAnsi="Arial" w:cs="Arial" w:hint="eastAsia"/>
                <w:sz w:val="28"/>
                <w:szCs w:val="28"/>
              </w:rPr>
              <w:t>歐洲鐵路運輸工具籌資公司</w:t>
            </w:r>
            <w:r w:rsidRPr="00D83B0B">
              <w:rPr>
                <w:rFonts w:ascii="Arial" w:eastAsia="標楷體" w:hAnsi="Arial" w:cs="Arial" w:hint="eastAsia"/>
                <w:sz w:val="28"/>
                <w:szCs w:val="28"/>
              </w:rPr>
              <w:t>(</w:t>
            </w:r>
            <w:proofErr w:type="spellStart"/>
            <w:r w:rsidRPr="00D83B0B">
              <w:rPr>
                <w:rFonts w:ascii="Arial" w:eastAsia="標楷體" w:hAnsi="Arial" w:cs="Arial"/>
                <w:sz w:val="28"/>
                <w:szCs w:val="28"/>
              </w:rPr>
              <w:t>Eurofima</w:t>
            </w:r>
            <w:proofErr w:type="spellEnd"/>
            <w:r w:rsidRPr="00D83B0B">
              <w:rPr>
                <w:rFonts w:ascii="Arial" w:eastAsia="標楷體" w:hAnsi="Arial" w:cs="Arial" w:hint="eastAsia"/>
                <w:sz w:val="28"/>
                <w:szCs w:val="28"/>
              </w:rPr>
              <w:t>)</w:t>
            </w:r>
          </w:p>
        </w:tc>
      </w:tr>
    </w:tbl>
    <w:p w14:paraId="0BAEEB7A" w14:textId="77777777" w:rsidR="0015425E" w:rsidRPr="00D83B0B" w:rsidRDefault="0015425E" w:rsidP="0015425E">
      <w:pPr>
        <w:tabs>
          <w:tab w:val="left" w:pos="1530"/>
        </w:tabs>
        <w:ind w:rightChars="-142" w:right="-341"/>
        <w:rPr>
          <w:rFonts w:ascii="標楷體" w:eastAsia="標楷體" w:hAnsi="標楷體"/>
          <w:sz w:val="28"/>
          <w:szCs w:val="28"/>
        </w:rPr>
      </w:pPr>
    </w:p>
    <w:p w14:paraId="42939CD4" w14:textId="6D11516D" w:rsidR="008925B5" w:rsidRPr="00D83B0B" w:rsidRDefault="008925B5" w:rsidP="009E3137">
      <w:pPr>
        <w:snapToGrid w:val="0"/>
        <w:spacing w:before="240" w:after="240" w:line="540" w:lineRule="exact"/>
        <w:ind w:rightChars="44" w:right="106"/>
        <w:jc w:val="both"/>
        <w:rPr>
          <w:rFonts w:ascii="標楷體" w:eastAsia="標楷體" w:hAnsi="標楷體"/>
        </w:rPr>
      </w:pPr>
    </w:p>
    <w:sectPr w:rsidR="008925B5" w:rsidRPr="00D83B0B" w:rsidSect="009E3137">
      <w:headerReference w:type="default" r:id="rId10"/>
      <w:footerReference w:type="default" r:id="rId11"/>
      <w:pgSz w:w="11910" w:h="16840"/>
      <w:pgMar w:top="720" w:right="720" w:bottom="720" w:left="720" w:header="225" w:footer="12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D859" w14:textId="77777777" w:rsidR="00756114" w:rsidRDefault="00756114" w:rsidP="0051441E">
      <w:r>
        <w:separator/>
      </w:r>
    </w:p>
  </w:endnote>
  <w:endnote w:type="continuationSeparator" w:id="0">
    <w:p w14:paraId="4F99B2E4" w14:textId="77777777" w:rsidR="00756114" w:rsidRDefault="00756114" w:rsidP="0051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418641"/>
      <w:docPartObj>
        <w:docPartGallery w:val="Page Numbers (Bottom of Page)"/>
        <w:docPartUnique/>
      </w:docPartObj>
    </w:sdtPr>
    <w:sdtEndPr/>
    <w:sdtContent>
      <w:p w14:paraId="77B2CAC8" w14:textId="12AA6E18" w:rsidR="00756114" w:rsidRDefault="00756114">
        <w:pPr>
          <w:pStyle w:val="a5"/>
          <w:jc w:val="center"/>
        </w:pPr>
        <w:r>
          <w:fldChar w:fldCharType="begin"/>
        </w:r>
        <w:r>
          <w:instrText>PAGE   \* MERGEFORMAT</w:instrText>
        </w:r>
        <w:r>
          <w:fldChar w:fldCharType="separate"/>
        </w:r>
        <w:r w:rsidR="007E1951" w:rsidRPr="007E1951">
          <w:rPr>
            <w:noProof/>
            <w:lang w:val="zh-TW"/>
          </w:rPr>
          <w:t>4</w:t>
        </w:r>
        <w:r>
          <w:fldChar w:fldCharType="end"/>
        </w:r>
      </w:p>
    </w:sdtContent>
  </w:sdt>
  <w:p w14:paraId="211A4CED" w14:textId="77777777" w:rsidR="00756114" w:rsidRDefault="0075611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63193"/>
      <w:docPartObj>
        <w:docPartGallery w:val="Page Numbers (Bottom of Page)"/>
        <w:docPartUnique/>
      </w:docPartObj>
    </w:sdtPr>
    <w:sdtEndPr/>
    <w:sdtContent>
      <w:p w14:paraId="00D67AFB" w14:textId="13F4A67A" w:rsidR="00756114" w:rsidRDefault="00756114">
        <w:pPr>
          <w:pStyle w:val="a5"/>
          <w:jc w:val="center"/>
        </w:pPr>
        <w:r>
          <w:fldChar w:fldCharType="begin"/>
        </w:r>
        <w:r>
          <w:instrText>PAGE   \* MERGEFORMAT</w:instrText>
        </w:r>
        <w:r>
          <w:fldChar w:fldCharType="separate"/>
        </w:r>
        <w:r w:rsidR="007E1951" w:rsidRPr="007E1951">
          <w:rPr>
            <w:noProof/>
            <w:lang w:val="zh-TW"/>
          </w:rPr>
          <w:t>6</w:t>
        </w:r>
        <w:r>
          <w:fldChar w:fldCharType="end"/>
        </w:r>
      </w:p>
    </w:sdtContent>
  </w:sdt>
  <w:p w14:paraId="53DE8467" w14:textId="77777777" w:rsidR="00756114" w:rsidRDefault="0075611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766B" w14:textId="77777777" w:rsidR="00756114" w:rsidRDefault="00756114" w:rsidP="0051441E">
      <w:r>
        <w:separator/>
      </w:r>
    </w:p>
  </w:footnote>
  <w:footnote w:type="continuationSeparator" w:id="0">
    <w:p w14:paraId="0C86DB16" w14:textId="77777777" w:rsidR="00756114" w:rsidRDefault="00756114" w:rsidP="0051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6059" w14:textId="77777777" w:rsidR="00756114" w:rsidRDefault="00756114">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A1E9" w14:textId="77777777" w:rsidR="00756114" w:rsidRDefault="0075611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72E"/>
    <w:multiLevelType w:val="hybridMultilevel"/>
    <w:tmpl w:val="09903AB4"/>
    <w:lvl w:ilvl="0" w:tplc="7E1C991A">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056DE"/>
    <w:multiLevelType w:val="hybridMultilevel"/>
    <w:tmpl w:val="5E7A0092"/>
    <w:lvl w:ilvl="0" w:tplc="4C68A9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93CE8"/>
    <w:multiLevelType w:val="hybridMultilevel"/>
    <w:tmpl w:val="B5F06B08"/>
    <w:lvl w:ilvl="0" w:tplc="4ED6FDA8">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63BED"/>
    <w:multiLevelType w:val="hybridMultilevel"/>
    <w:tmpl w:val="1D7CA9A6"/>
    <w:lvl w:ilvl="0" w:tplc="30721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10B98"/>
    <w:multiLevelType w:val="hybridMultilevel"/>
    <w:tmpl w:val="CDE8C686"/>
    <w:lvl w:ilvl="0" w:tplc="70A867D6">
      <w:start w:val="1"/>
      <w:numFmt w:val="decimal"/>
      <w:lvlText w:val="%1."/>
      <w:lvlJc w:val="left"/>
      <w:pPr>
        <w:ind w:left="480" w:hanging="480"/>
      </w:pPr>
      <w:rPr>
        <w:rFonts w:ascii="Arial" w:hAnsi="Arial" w:cs="Arial" w:hint="default"/>
      </w:rPr>
    </w:lvl>
    <w:lvl w:ilvl="1" w:tplc="886C25E0">
      <w:start w:val="1"/>
      <w:numFmt w:val="decimal"/>
      <w:lvlText w:val="%2."/>
      <w:lvlJc w:val="left"/>
      <w:pPr>
        <w:ind w:left="960" w:hanging="480"/>
      </w:pPr>
      <w:rPr>
        <w:rFonts w:hint="eastAsia"/>
        <w:color w:val="FF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EF6ACF"/>
    <w:multiLevelType w:val="hybridMultilevel"/>
    <w:tmpl w:val="B404B480"/>
    <w:lvl w:ilvl="0" w:tplc="D46E1FB8">
      <w:start w:val="1"/>
      <w:numFmt w:val="taiwaneseCountingThousand"/>
      <w:lvlText w:val="(%1)"/>
      <w:lvlJc w:val="left"/>
      <w:pPr>
        <w:ind w:left="466" w:hanging="50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0CF4EF7"/>
    <w:multiLevelType w:val="hybridMultilevel"/>
    <w:tmpl w:val="3F76E348"/>
    <w:lvl w:ilvl="0" w:tplc="23FAB4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F40221"/>
    <w:multiLevelType w:val="hybridMultilevel"/>
    <w:tmpl w:val="318AE72A"/>
    <w:lvl w:ilvl="0" w:tplc="C562B8A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A6947"/>
    <w:multiLevelType w:val="hybridMultilevel"/>
    <w:tmpl w:val="E716C1B2"/>
    <w:lvl w:ilvl="0" w:tplc="B1A0F7F0">
      <w:start w:val="1"/>
      <w:numFmt w:val="decimal"/>
      <w:lvlText w:val="%1."/>
      <w:lvlJc w:val="left"/>
      <w:pPr>
        <w:ind w:left="2061" w:hanging="360"/>
      </w:pPr>
      <w:rPr>
        <w:rFonts w:hint="default"/>
        <w:color w:val="auto"/>
      </w:rPr>
    </w:lvl>
    <w:lvl w:ilvl="1" w:tplc="6AB05D6E">
      <w:start w:val="1"/>
      <w:numFmt w:val="ideographTraditional"/>
      <w:lvlText w:val="%2、"/>
      <w:lvlJc w:val="left"/>
      <w:pPr>
        <w:ind w:left="2661" w:hanging="480"/>
      </w:pPr>
      <w:rPr>
        <w:color w:val="FF0000"/>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F2E4089"/>
    <w:multiLevelType w:val="hybridMultilevel"/>
    <w:tmpl w:val="0D90A29E"/>
    <w:lvl w:ilvl="0" w:tplc="0409000F">
      <w:start w:val="1"/>
      <w:numFmt w:val="decimal"/>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0" w15:restartNumberingAfterBreak="0">
    <w:nsid w:val="30196887"/>
    <w:multiLevelType w:val="hybridMultilevel"/>
    <w:tmpl w:val="998ADC70"/>
    <w:lvl w:ilvl="0" w:tplc="6E5C39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A67D3F"/>
    <w:multiLevelType w:val="hybridMultilevel"/>
    <w:tmpl w:val="36A6070C"/>
    <w:lvl w:ilvl="0" w:tplc="17383C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51861"/>
    <w:multiLevelType w:val="hybridMultilevel"/>
    <w:tmpl w:val="FA30BD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151177"/>
    <w:multiLevelType w:val="hybridMultilevel"/>
    <w:tmpl w:val="553C3A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3F624E"/>
    <w:multiLevelType w:val="hybridMultilevel"/>
    <w:tmpl w:val="46A242C6"/>
    <w:lvl w:ilvl="0" w:tplc="0409000F">
      <w:start w:val="1"/>
      <w:numFmt w:val="decimal"/>
      <w:lvlText w:val="%1."/>
      <w:lvlJc w:val="left"/>
      <w:pPr>
        <w:ind w:left="2180" w:hanging="480"/>
      </w:p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5" w15:restartNumberingAfterBreak="0">
    <w:nsid w:val="4681020C"/>
    <w:multiLevelType w:val="hybridMultilevel"/>
    <w:tmpl w:val="47062FFE"/>
    <w:lvl w:ilvl="0" w:tplc="A0CEA1AE">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D00C4B"/>
    <w:multiLevelType w:val="hybridMultilevel"/>
    <w:tmpl w:val="724C6FC0"/>
    <w:lvl w:ilvl="0" w:tplc="4B4C16BC">
      <w:start w:val="1"/>
      <w:numFmt w:val="taiwaneseCountingThousand"/>
      <w:lvlText w:val="(%1)"/>
      <w:lvlJc w:val="left"/>
      <w:pPr>
        <w:ind w:left="720" w:hanging="720"/>
      </w:pPr>
      <w:rPr>
        <w:rFonts w:hint="default"/>
        <w:color w:val="auto"/>
      </w:rPr>
    </w:lvl>
    <w:lvl w:ilvl="1" w:tplc="95FA0F06">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0462A4"/>
    <w:multiLevelType w:val="hybridMultilevel"/>
    <w:tmpl w:val="FB825B7C"/>
    <w:lvl w:ilvl="0" w:tplc="62A81C14">
      <w:start w:val="1"/>
      <w:numFmt w:val="decimal"/>
      <w:lvlText w:val="%1."/>
      <w:lvlJc w:val="left"/>
      <w:pPr>
        <w:ind w:left="2400" w:hanging="360"/>
      </w:pPr>
      <w:rPr>
        <w:rFonts w:ascii="Arial" w:eastAsia="標楷體" w:hAnsi="Arial" w:hint="default"/>
      </w:rPr>
    </w:lvl>
    <w:lvl w:ilvl="1" w:tplc="254415C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FF1CE2"/>
    <w:multiLevelType w:val="hybridMultilevel"/>
    <w:tmpl w:val="9E349EF2"/>
    <w:lvl w:ilvl="0" w:tplc="3E885000">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625F73"/>
    <w:multiLevelType w:val="hybridMultilevel"/>
    <w:tmpl w:val="0F0465A2"/>
    <w:lvl w:ilvl="0" w:tplc="98C4036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375173"/>
    <w:multiLevelType w:val="hybridMultilevel"/>
    <w:tmpl w:val="EC229932"/>
    <w:lvl w:ilvl="0" w:tplc="04090015">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616A5964"/>
    <w:multiLevelType w:val="hybridMultilevel"/>
    <w:tmpl w:val="F272A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67FC0679"/>
    <w:multiLevelType w:val="hybridMultilevel"/>
    <w:tmpl w:val="016AC072"/>
    <w:lvl w:ilvl="0" w:tplc="D1B48A2A">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563D8E"/>
    <w:multiLevelType w:val="hybridMultilevel"/>
    <w:tmpl w:val="5E7A0092"/>
    <w:lvl w:ilvl="0" w:tplc="4C68A9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9140D"/>
    <w:multiLevelType w:val="hybridMultilevel"/>
    <w:tmpl w:val="9AAC698A"/>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F5A7764"/>
    <w:multiLevelType w:val="hybridMultilevel"/>
    <w:tmpl w:val="0B340534"/>
    <w:lvl w:ilvl="0" w:tplc="09D222CE">
      <w:start w:val="1"/>
      <w:numFmt w:val="taiwaneseCountingThousand"/>
      <w:lvlText w:val="(%1)"/>
      <w:lvlJc w:val="left"/>
      <w:pPr>
        <w:ind w:left="960" w:hanging="720"/>
      </w:pPr>
      <w:rPr>
        <w:rFonts w:hint="default"/>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23"/>
  </w:num>
  <w:num w:numId="3">
    <w:abstractNumId w:val="10"/>
  </w:num>
  <w:num w:numId="4">
    <w:abstractNumId w:val="17"/>
  </w:num>
  <w:num w:numId="5">
    <w:abstractNumId w:val="24"/>
  </w:num>
  <w:num w:numId="6">
    <w:abstractNumId w:val="21"/>
  </w:num>
  <w:num w:numId="7">
    <w:abstractNumId w:val="9"/>
  </w:num>
  <w:num w:numId="8">
    <w:abstractNumId w:val="14"/>
  </w:num>
  <w:num w:numId="9">
    <w:abstractNumId w:val="20"/>
  </w:num>
  <w:num w:numId="10">
    <w:abstractNumId w:val="4"/>
  </w:num>
  <w:num w:numId="11">
    <w:abstractNumId w:val="6"/>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8"/>
  </w:num>
  <w:num w:numId="19">
    <w:abstractNumId w:val="22"/>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6"/>
  </w:num>
  <w:num w:numId="29">
    <w:abstractNumId w:val="25"/>
  </w:num>
  <w:num w:numId="30">
    <w:abstractNumId w:val="11"/>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formLetters"/>
    <w:dataType w:val="textFile"/>
    <w:activeRecord w:val="-1"/>
    <w:odso/>
  </w:mailMerge>
  <w:defaultTabStop w:val="480"/>
  <w:drawingGridHorizontalSpacing w:val="120"/>
  <w:displayHorizontalDrawingGridEvery w:val="0"/>
  <w:displayVerticalDrawingGridEvery w:val="2"/>
  <w:characterSpacingControl w:val="compressPunctuation"/>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1A"/>
    <w:rsid w:val="00000E5A"/>
    <w:rsid w:val="00002E9F"/>
    <w:rsid w:val="0000374B"/>
    <w:rsid w:val="0000400F"/>
    <w:rsid w:val="000041BD"/>
    <w:rsid w:val="00004B27"/>
    <w:rsid w:val="00004BD5"/>
    <w:rsid w:val="00004D7A"/>
    <w:rsid w:val="00004EA5"/>
    <w:rsid w:val="00005093"/>
    <w:rsid w:val="00005D2E"/>
    <w:rsid w:val="00007071"/>
    <w:rsid w:val="0000774A"/>
    <w:rsid w:val="00007A47"/>
    <w:rsid w:val="00010A12"/>
    <w:rsid w:val="00011396"/>
    <w:rsid w:val="0001143A"/>
    <w:rsid w:val="000122FD"/>
    <w:rsid w:val="00012E6E"/>
    <w:rsid w:val="00013B66"/>
    <w:rsid w:val="00013E44"/>
    <w:rsid w:val="00014DB9"/>
    <w:rsid w:val="00015251"/>
    <w:rsid w:val="000153F4"/>
    <w:rsid w:val="0002046C"/>
    <w:rsid w:val="00021257"/>
    <w:rsid w:val="000212B7"/>
    <w:rsid w:val="0002456F"/>
    <w:rsid w:val="00024B63"/>
    <w:rsid w:val="00024C3A"/>
    <w:rsid w:val="00024C90"/>
    <w:rsid w:val="00025156"/>
    <w:rsid w:val="0002554D"/>
    <w:rsid w:val="00025766"/>
    <w:rsid w:val="00027491"/>
    <w:rsid w:val="00027738"/>
    <w:rsid w:val="000300E1"/>
    <w:rsid w:val="00030BFF"/>
    <w:rsid w:val="000314FD"/>
    <w:rsid w:val="00031A42"/>
    <w:rsid w:val="000328B8"/>
    <w:rsid w:val="00033952"/>
    <w:rsid w:val="00034784"/>
    <w:rsid w:val="000349CB"/>
    <w:rsid w:val="0003604A"/>
    <w:rsid w:val="00040662"/>
    <w:rsid w:val="00040742"/>
    <w:rsid w:val="000410F5"/>
    <w:rsid w:val="00042047"/>
    <w:rsid w:val="00043477"/>
    <w:rsid w:val="000441CC"/>
    <w:rsid w:val="000450AD"/>
    <w:rsid w:val="00045B73"/>
    <w:rsid w:val="00047EEE"/>
    <w:rsid w:val="00047FC1"/>
    <w:rsid w:val="00050583"/>
    <w:rsid w:val="000517F0"/>
    <w:rsid w:val="00057C53"/>
    <w:rsid w:val="00060552"/>
    <w:rsid w:val="00060A07"/>
    <w:rsid w:val="00061B54"/>
    <w:rsid w:val="00062206"/>
    <w:rsid w:val="000622A6"/>
    <w:rsid w:val="00062558"/>
    <w:rsid w:val="00064F42"/>
    <w:rsid w:val="000654FA"/>
    <w:rsid w:val="00065640"/>
    <w:rsid w:val="00066DA2"/>
    <w:rsid w:val="00067287"/>
    <w:rsid w:val="000675E4"/>
    <w:rsid w:val="00067664"/>
    <w:rsid w:val="00067A28"/>
    <w:rsid w:val="000700BD"/>
    <w:rsid w:val="00070470"/>
    <w:rsid w:val="00070CA3"/>
    <w:rsid w:val="000724CF"/>
    <w:rsid w:val="000725E3"/>
    <w:rsid w:val="000726BD"/>
    <w:rsid w:val="00075AEC"/>
    <w:rsid w:val="000766AB"/>
    <w:rsid w:val="00076DE0"/>
    <w:rsid w:val="00083903"/>
    <w:rsid w:val="00085DE8"/>
    <w:rsid w:val="00086FF5"/>
    <w:rsid w:val="0009289D"/>
    <w:rsid w:val="00096FD4"/>
    <w:rsid w:val="00097C07"/>
    <w:rsid w:val="000A0314"/>
    <w:rsid w:val="000A0F0B"/>
    <w:rsid w:val="000A248A"/>
    <w:rsid w:val="000A2CC9"/>
    <w:rsid w:val="000A4369"/>
    <w:rsid w:val="000A4BD7"/>
    <w:rsid w:val="000A4D1C"/>
    <w:rsid w:val="000A52CE"/>
    <w:rsid w:val="000A72AB"/>
    <w:rsid w:val="000B1D40"/>
    <w:rsid w:val="000B1D9B"/>
    <w:rsid w:val="000B336E"/>
    <w:rsid w:val="000B513F"/>
    <w:rsid w:val="000B5DA4"/>
    <w:rsid w:val="000B5E9A"/>
    <w:rsid w:val="000B685B"/>
    <w:rsid w:val="000B6DA0"/>
    <w:rsid w:val="000B72A9"/>
    <w:rsid w:val="000B739C"/>
    <w:rsid w:val="000B7E17"/>
    <w:rsid w:val="000C0283"/>
    <w:rsid w:val="000C097C"/>
    <w:rsid w:val="000C0CB3"/>
    <w:rsid w:val="000C24F6"/>
    <w:rsid w:val="000C2A2B"/>
    <w:rsid w:val="000C33E9"/>
    <w:rsid w:val="000C3D94"/>
    <w:rsid w:val="000C4D8B"/>
    <w:rsid w:val="000C569A"/>
    <w:rsid w:val="000C5D50"/>
    <w:rsid w:val="000C5F86"/>
    <w:rsid w:val="000C7FAC"/>
    <w:rsid w:val="000D1135"/>
    <w:rsid w:val="000D1572"/>
    <w:rsid w:val="000D1FEE"/>
    <w:rsid w:val="000D2693"/>
    <w:rsid w:val="000D2F88"/>
    <w:rsid w:val="000D313E"/>
    <w:rsid w:val="000D4BF9"/>
    <w:rsid w:val="000D7B62"/>
    <w:rsid w:val="000E02CF"/>
    <w:rsid w:val="000E0E75"/>
    <w:rsid w:val="000E2F7F"/>
    <w:rsid w:val="000E393F"/>
    <w:rsid w:val="000F10EE"/>
    <w:rsid w:val="000F24A1"/>
    <w:rsid w:val="000F279F"/>
    <w:rsid w:val="000F2C5E"/>
    <w:rsid w:val="000F2EA7"/>
    <w:rsid w:val="000F34AF"/>
    <w:rsid w:val="000F4217"/>
    <w:rsid w:val="000F54CF"/>
    <w:rsid w:val="000F557D"/>
    <w:rsid w:val="000F6358"/>
    <w:rsid w:val="000F6B13"/>
    <w:rsid w:val="000F7F4F"/>
    <w:rsid w:val="00100044"/>
    <w:rsid w:val="001001D6"/>
    <w:rsid w:val="001010C0"/>
    <w:rsid w:val="0010246B"/>
    <w:rsid w:val="0010310C"/>
    <w:rsid w:val="001039FC"/>
    <w:rsid w:val="00103EFD"/>
    <w:rsid w:val="001045A0"/>
    <w:rsid w:val="00105A5F"/>
    <w:rsid w:val="001066EC"/>
    <w:rsid w:val="00111C28"/>
    <w:rsid w:val="0011355B"/>
    <w:rsid w:val="00114C77"/>
    <w:rsid w:val="001151E8"/>
    <w:rsid w:val="00115979"/>
    <w:rsid w:val="001165E7"/>
    <w:rsid w:val="0011797A"/>
    <w:rsid w:val="001207A1"/>
    <w:rsid w:val="00120C76"/>
    <w:rsid w:val="00121466"/>
    <w:rsid w:val="0012162A"/>
    <w:rsid w:val="00122FEA"/>
    <w:rsid w:val="001235E9"/>
    <w:rsid w:val="00124171"/>
    <w:rsid w:val="001244ED"/>
    <w:rsid w:val="00125228"/>
    <w:rsid w:val="00125FD3"/>
    <w:rsid w:val="0012706F"/>
    <w:rsid w:val="00127D29"/>
    <w:rsid w:val="001324CC"/>
    <w:rsid w:val="00132705"/>
    <w:rsid w:val="00133DC2"/>
    <w:rsid w:val="00133F34"/>
    <w:rsid w:val="00134ADA"/>
    <w:rsid w:val="0013528F"/>
    <w:rsid w:val="001352C4"/>
    <w:rsid w:val="0013572A"/>
    <w:rsid w:val="00136F55"/>
    <w:rsid w:val="00141142"/>
    <w:rsid w:val="00141222"/>
    <w:rsid w:val="0014168D"/>
    <w:rsid w:val="0014224F"/>
    <w:rsid w:val="001439B6"/>
    <w:rsid w:val="00144D9D"/>
    <w:rsid w:val="00146A1E"/>
    <w:rsid w:val="001471C2"/>
    <w:rsid w:val="00147FF7"/>
    <w:rsid w:val="00150F60"/>
    <w:rsid w:val="00151A37"/>
    <w:rsid w:val="00152FEE"/>
    <w:rsid w:val="001530DD"/>
    <w:rsid w:val="0015425E"/>
    <w:rsid w:val="00154470"/>
    <w:rsid w:val="001555BC"/>
    <w:rsid w:val="00155E7F"/>
    <w:rsid w:val="0015659A"/>
    <w:rsid w:val="001569A2"/>
    <w:rsid w:val="00157B53"/>
    <w:rsid w:val="001605F0"/>
    <w:rsid w:val="00160BD9"/>
    <w:rsid w:val="00162F60"/>
    <w:rsid w:val="00164645"/>
    <w:rsid w:val="00165BF2"/>
    <w:rsid w:val="00165DF3"/>
    <w:rsid w:val="00165F8D"/>
    <w:rsid w:val="00166100"/>
    <w:rsid w:val="00166D6F"/>
    <w:rsid w:val="0016724A"/>
    <w:rsid w:val="00167366"/>
    <w:rsid w:val="00167F20"/>
    <w:rsid w:val="0017060F"/>
    <w:rsid w:val="00170D72"/>
    <w:rsid w:val="0017297B"/>
    <w:rsid w:val="00173D97"/>
    <w:rsid w:val="001744F1"/>
    <w:rsid w:val="001753F9"/>
    <w:rsid w:val="0017544C"/>
    <w:rsid w:val="001758FA"/>
    <w:rsid w:val="001765B9"/>
    <w:rsid w:val="001804CC"/>
    <w:rsid w:val="00181572"/>
    <w:rsid w:val="00181C01"/>
    <w:rsid w:val="00181DFB"/>
    <w:rsid w:val="00181F9C"/>
    <w:rsid w:val="00182679"/>
    <w:rsid w:val="0018272D"/>
    <w:rsid w:val="0018288E"/>
    <w:rsid w:val="00183E79"/>
    <w:rsid w:val="00183EBB"/>
    <w:rsid w:val="00184215"/>
    <w:rsid w:val="0018471C"/>
    <w:rsid w:val="00185B74"/>
    <w:rsid w:val="00185C49"/>
    <w:rsid w:val="0018608D"/>
    <w:rsid w:val="00186416"/>
    <w:rsid w:val="0018678B"/>
    <w:rsid w:val="00187E8D"/>
    <w:rsid w:val="00187EAF"/>
    <w:rsid w:val="001901E9"/>
    <w:rsid w:val="00191301"/>
    <w:rsid w:val="00192B05"/>
    <w:rsid w:val="00193391"/>
    <w:rsid w:val="00193B2F"/>
    <w:rsid w:val="00194024"/>
    <w:rsid w:val="00194628"/>
    <w:rsid w:val="001947AA"/>
    <w:rsid w:val="00194FFD"/>
    <w:rsid w:val="0019549E"/>
    <w:rsid w:val="001954FA"/>
    <w:rsid w:val="0019575E"/>
    <w:rsid w:val="00195AD5"/>
    <w:rsid w:val="00197AF3"/>
    <w:rsid w:val="001A0A12"/>
    <w:rsid w:val="001A0F25"/>
    <w:rsid w:val="001A2C88"/>
    <w:rsid w:val="001A3355"/>
    <w:rsid w:val="001A412D"/>
    <w:rsid w:val="001A732D"/>
    <w:rsid w:val="001A79EF"/>
    <w:rsid w:val="001B06CF"/>
    <w:rsid w:val="001B16FB"/>
    <w:rsid w:val="001B1B0A"/>
    <w:rsid w:val="001B4F2D"/>
    <w:rsid w:val="001B5BB5"/>
    <w:rsid w:val="001B7410"/>
    <w:rsid w:val="001C1773"/>
    <w:rsid w:val="001C3E62"/>
    <w:rsid w:val="001C5A6B"/>
    <w:rsid w:val="001C62EC"/>
    <w:rsid w:val="001C631B"/>
    <w:rsid w:val="001D00B0"/>
    <w:rsid w:val="001D00B9"/>
    <w:rsid w:val="001D083A"/>
    <w:rsid w:val="001D29CC"/>
    <w:rsid w:val="001D3681"/>
    <w:rsid w:val="001D3875"/>
    <w:rsid w:val="001D4F60"/>
    <w:rsid w:val="001D55E6"/>
    <w:rsid w:val="001D6086"/>
    <w:rsid w:val="001D66FE"/>
    <w:rsid w:val="001D6CEA"/>
    <w:rsid w:val="001E18E2"/>
    <w:rsid w:val="001E27AE"/>
    <w:rsid w:val="001E2A0C"/>
    <w:rsid w:val="001E3472"/>
    <w:rsid w:val="001E3600"/>
    <w:rsid w:val="001E38A1"/>
    <w:rsid w:val="001E44B6"/>
    <w:rsid w:val="001E46B2"/>
    <w:rsid w:val="001E4E61"/>
    <w:rsid w:val="001E70DF"/>
    <w:rsid w:val="001E70E9"/>
    <w:rsid w:val="001E72B9"/>
    <w:rsid w:val="001E73A1"/>
    <w:rsid w:val="001F0761"/>
    <w:rsid w:val="001F2E36"/>
    <w:rsid w:val="001F3102"/>
    <w:rsid w:val="001F3E57"/>
    <w:rsid w:val="001F45C6"/>
    <w:rsid w:val="001F68E3"/>
    <w:rsid w:val="001F7A9B"/>
    <w:rsid w:val="0020043E"/>
    <w:rsid w:val="00200743"/>
    <w:rsid w:val="00200968"/>
    <w:rsid w:val="00200A34"/>
    <w:rsid w:val="00201635"/>
    <w:rsid w:val="00201ADF"/>
    <w:rsid w:val="002047FF"/>
    <w:rsid w:val="00205844"/>
    <w:rsid w:val="00205E4A"/>
    <w:rsid w:val="00210714"/>
    <w:rsid w:val="00210FD5"/>
    <w:rsid w:val="00211F37"/>
    <w:rsid w:val="00212B18"/>
    <w:rsid w:val="00212C7B"/>
    <w:rsid w:val="002133C5"/>
    <w:rsid w:val="002140F7"/>
    <w:rsid w:val="00215F08"/>
    <w:rsid w:val="002177A4"/>
    <w:rsid w:val="0022163B"/>
    <w:rsid w:val="00222632"/>
    <w:rsid w:val="00223B50"/>
    <w:rsid w:val="00226A62"/>
    <w:rsid w:val="00227115"/>
    <w:rsid w:val="002303B7"/>
    <w:rsid w:val="00230A13"/>
    <w:rsid w:val="00230FC1"/>
    <w:rsid w:val="00232BBC"/>
    <w:rsid w:val="002347B4"/>
    <w:rsid w:val="0023485D"/>
    <w:rsid w:val="0023599B"/>
    <w:rsid w:val="00236041"/>
    <w:rsid w:val="00242988"/>
    <w:rsid w:val="00243748"/>
    <w:rsid w:val="002442E7"/>
    <w:rsid w:val="00245429"/>
    <w:rsid w:val="002467C8"/>
    <w:rsid w:val="00247F59"/>
    <w:rsid w:val="00250767"/>
    <w:rsid w:val="00250AC6"/>
    <w:rsid w:val="002512AE"/>
    <w:rsid w:val="0025373A"/>
    <w:rsid w:val="002546D8"/>
    <w:rsid w:val="00254A80"/>
    <w:rsid w:val="0025557B"/>
    <w:rsid w:val="002567FC"/>
    <w:rsid w:val="00256A88"/>
    <w:rsid w:val="0026200F"/>
    <w:rsid w:val="00262C58"/>
    <w:rsid w:val="00263E73"/>
    <w:rsid w:val="0026707D"/>
    <w:rsid w:val="00267862"/>
    <w:rsid w:val="00267F38"/>
    <w:rsid w:val="002706C9"/>
    <w:rsid w:val="00271470"/>
    <w:rsid w:val="002721A1"/>
    <w:rsid w:val="00275D0F"/>
    <w:rsid w:val="0027747F"/>
    <w:rsid w:val="00277A55"/>
    <w:rsid w:val="00281F41"/>
    <w:rsid w:val="00282251"/>
    <w:rsid w:val="00283B2D"/>
    <w:rsid w:val="00285B5A"/>
    <w:rsid w:val="00285E17"/>
    <w:rsid w:val="00285F27"/>
    <w:rsid w:val="0028614E"/>
    <w:rsid w:val="00286ADA"/>
    <w:rsid w:val="002907B5"/>
    <w:rsid w:val="002913A5"/>
    <w:rsid w:val="00291561"/>
    <w:rsid w:val="002925B7"/>
    <w:rsid w:val="002933F0"/>
    <w:rsid w:val="00293656"/>
    <w:rsid w:val="00294281"/>
    <w:rsid w:val="0029506D"/>
    <w:rsid w:val="0029532E"/>
    <w:rsid w:val="00295A9A"/>
    <w:rsid w:val="002969CF"/>
    <w:rsid w:val="002971C2"/>
    <w:rsid w:val="00297FA8"/>
    <w:rsid w:val="002A05A6"/>
    <w:rsid w:val="002A2032"/>
    <w:rsid w:val="002A2BD7"/>
    <w:rsid w:val="002A2C96"/>
    <w:rsid w:val="002A36C4"/>
    <w:rsid w:val="002A390F"/>
    <w:rsid w:val="002A4026"/>
    <w:rsid w:val="002A529E"/>
    <w:rsid w:val="002A6467"/>
    <w:rsid w:val="002B0A02"/>
    <w:rsid w:val="002B137D"/>
    <w:rsid w:val="002B3334"/>
    <w:rsid w:val="002B3668"/>
    <w:rsid w:val="002B4110"/>
    <w:rsid w:val="002B470F"/>
    <w:rsid w:val="002B65B9"/>
    <w:rsid w:val="002C01F4"/>
    <w:rsid w:val="002C079A"/>
    <w:rsid w:val="002C1829"/>
    <w:rsid w:val="002C2603"/>
    <w:rsid w:val="002C458B"/>
    <w:rsid w:val="002C53F8"/>
    <w:rsid w:val="002C6C39"/>
    <w:rsid w:val="002C6D7E"/>
    <w:rsid w:val="002C757C"/>
    <w:rsid w:val="002C7885"/>
    <w:rsid w:val="002D0BEB"/>
    <w:rsid w:val="002D1124"/>
    <w:rsid w:val="002D12EB"/>
    <w:rsid w:val="002D2EAB"/>
    <w:rsid w:val="002D2FA2"/>
    <w:rsid w:val="002D3569"/>
    <w:rsid w:val="002D3CB1"/>
    <w:rsid w:val="002D5B69"/>
    <w:rsid w:val="002D7831"/>
    <w:rsid w:val="002E15BC"/>
    <w:rsid w:val="002E1AE3"/>
    <w:rsid w:val="002E1C7D"/>
    <w:rsid w:val="002E1E19"/>
    <w:rsid w:val="002E3910"/>
    <w:rsid w:val="002E3A9E"/>
    <w:rsid w:val="002E44BF"/>
    <w:rsid w:val="002E46DB"/>
    <w:rsid w:val="002E528D"/>
    <w:rsid w:val="002E5D34"/>
    <w:rsid w:val="002E5E66"/>
    <w:rsid w:val="002E689D"/>
    <w:rsid w:val="002E764D"/>
    <w:rsid w:val="002F0657"/>
    <w:rsid w:val="002F246D"/>
    <w:rsid w:val="002F284D"/>
    <w:rsid w:val="002F2F0D"/>
    <w:rsid w:val="002F2F35"/>
    <w:rsid w:val="002F75B0"/>
    <w:rsid w:val="003004B1"/>
    <w:rsid w:val="00301822"/>
    <w:rsid w:val="00301A31"/>
    <w:rsid w:val="00301B6A"/>
    <w:rsid w:val="00302063"/>
    <w:rsid w:val="00302CE8"/>
    <w:rsid w:val="00303C82"/>
    <w:rsid w:val="00304FF9"/>
    <w:rsid w:val="00305B7F"/>
    <w:rsid w:val="00305EA9"/>
    <w:rsid w:val="003065C6"/>
    <w:rsid w:val="00310470"/>
    <w:rsid w:val="00310985"/>
    <w:rsid w:val="00310CD4"/>
    <w:rsid w:val="00311FE9"/>
    <w:rsid w:val="003130F9"/>
    <w:rsid w:val="00314567"/>
    <w:rsid w:val="003150CC"/>
    <w:rsid w:val="00316245"/>
    <w:rsid w:val="003163E0"/>
    <w:rsid w:val="0031772C"/>
    <w:rsid w:val="00321A5E"/>
    <w:rsid w:val="003236E4"/>
    <w:rsid w:val="00325305"/>
    <w:rsid w:val="003259EA"/>
    <w:rsid w:val="00325F63"/>
    <w:rsid w:val="00326EA3"/>
    <w:rsid w:val="00326ECC"/>
    <w:rsid w:val="00327248"/>
    <w:rsid w:val="00327CC9"/>
    <w:rsid w:val="003335E0"/>
    <w:rsid w:val="003351CA"/>
    <w:rsid w:val="00335B28"/>
    <w:rsid w:val="00335CD6"/>
    <w:rsid w:val="003373AD"/>
    <w:rsid w:val="00337F77"/>
    <w:rsid w:val="00341FFC"/>
    <w:rsid w:val="0034431A"/>
    <w:rsid w:val="003446AB"/>
    <w:rsid w:val="00345CC7"/>
    <w:rsid w:val="00345D54"/>
    <w:rsid w:val="00346D0C"/>
    <w:rsid w:val="00347914"/>
    <w:rsid w:val="00350E2D"/>
    <w:rsid w:val="0035152B"/>
    <w:rsid w:val="003526B6"/>
    <w:rsid w:val="00353186"/>
    <w:rsid w:val="00354269"/>
    <w:rsid w:val="0035461E"/>
    <w:rsid w:val="00354A79"/>
    <w:rsid w:val="003559BB"/>
    <w:rsid w:val="00357B54"/>
    <w:rsid w:val="00360702"/>
    <w:rsid w:val="00361813"/>
    <w:rsid w:val="00361CED"/>
    <w:rsid w:val="00362061"/>
    <w:rsid w:val="003623BB"/>
    <w:rsid w:val="0036305B"/>
    <w:rsid w:val="00363ABB"/>
    <w:rsid w:val="00363F8C"/>
    <w:rsid w:val="00364060"/>
    <w:rsid w:val="00366091"/>
    <w:rsid w:val="00366E11"/>
    <w:rsid w:val="00366FB7"/>
    <w:rsid w:val="00367969"/>
    <w:rsid w:val="00370C4C"/>
    <w:rsid w:val="0037194D"/>
    <w:rsid w:val="00373422"/>
    <w:rsid w:val="00373E15"/>
    <w:rsid w:val="0037514E"/>
    <w:rsid w:val="00375CA6"/>
    <w:rsid w:val="003765F5"/>
    <w:rsid w:val="00380F7D"/>
    <w:rsid w:val="00382C56"/>
    <w:rsid w:val="00382F92"/>
    <w:rsid w:val="00383165"/>
    <w:rsid w:val="00383863"/>
    <w:rsid w:val="0038642B"/>
    <w:rsid w:val="00387CD3"/>
    <w:rsid w:val="00387DF2"/>
    <w:rsid w:val="00394A2F"/>
    <w:rsid w:val="00394FAA"/>
    <w:rsid w:val="0039618E"/>
    <w:rsid w:val="00396F03"/>
    <w:rsid w:val="0039784C"/>
    <w:rsid w:val="00397BAC"/>
    <w:rsid w:val="003A0CAD"/>
    <w:rsid w:val="003A1BEC"/>
    <w:rsid w:val="003A23C6"/>
    <w:rsid w:val="003A3BDB"/>
    <w:rsid w:val="003A3CCA"/>
    <w:rsid w:val="003A4F0F"/>
    <w:rsid w:val="003A61D9"/>
    <w:rsid w:val="003B0E2D"/>
    <w:rsid w:val="003B3956"/>
    <w:rsid w:val="003B3FDB"/>
    <w:rsid w:val="003B40A5"/>
    <w:rsid w:val="003B4823"/>
    <w:rsid w:val="003B4E11"/>
    <w:rsid w:val="003B5DB8"/>
    <w:rsid w:val="003B61AD"/>
    <w:rsid w:val="003B6ADC"/>
    <w:rsid w:val="003B6C4B"/>
    <w:rsid w:val="003B72DA"/>
    <w:rsid w:val="003C1CF4"/>
    <w:rsid w:val="003C2C8E"/>
    <w:rsid w:val="003C5503"/>
    <w:rsid w:val="003C5BC7"/>
    <w:rsid w:val="003C7374"/>
    <w:rsid w:val="003C7ECB"/>
    <w:rsid w:val="003D1DBD"/>
    <w:rsid w:val="003D6557"/>
    <w:rsid w:val="003E2684"/>
    <w:rsid w:val="003E340C"/>
    <w:rsid w:val="003E344B"/>
    <w:rsid w:val="003E3D4C"/>
    <w:rsid w:val="003E3E56"/>
    <w:rsid w:val="003E5052"/>
    <w:rsid w:val="003E5867"/>
    <w:rsid w:val="003E5EB7"/>
    <w:rsid w:val="003E717B"/>
    <w:rsid w:val="003E7403"/>
    <w:rsid w:val="003E75A4"/>
    <w:rsid w:val="003F2579"/>
    <w:rsid w:val="003F2E87"/>
    <w:rsid w:val="003F2F3B"/>
    <w:rsid w:val="003F6846"/>
    <w:rsid w:val="003F7F47"/>
    <w:rsid w:val="00401132"/>
    <w:rsid w:val="0040251E"/>
    <w:rsid w:val="00402D0F"/>
    <w:rsid w:val="00403145"/>
    <w:rsid w:val="00410064"/>
    <w:rsid w:val="0041026D"/>
    <w:rsid w:val="00410347"/>
    <w:rsid w:val="004105B0"/>
    <w:rsid w:val="00410A3E"/>
    <w:rsid w:val="0041261D"/>
    <w:rsid w:val="00412A78"/>
    <w:rsid w:val="00415A3E"/>
    <w:rsid w:val="00416F7F"/>
    <w:rsid w:val="0042218D"/>
    <w:rsid w:val="004221F1"/>
    <w:rsid w:val="00422882"/>
    <w:rsid w:val="00423C31"/>
    <w:rsid w:val="00424047"/>
    <w:rsid w:val="004241EE"/>
    <w:rsid w:val="004274EB"/>
    <w:rsid w:val="004324EB"/>
    <w:rsid w:val="004338D3"/>
    <w:rsid w:val="00433EB7"/>
    <w:rsid w:val="004341F4"/>
    <w:rsid w:val="004347B1"/>
    <w:rsid w:val="00434B80"/>
    <w:rsid w:val="00435F0E"/>
    <w:rsid w:val="004375B6"/>
    <w:rsid w:val="00437F42"/>
    <w:rsid w:val="0044108B"/>
    <w:rsid w:val="00441AA5"/>
    <w:rsid w:val="00441E8B"/>
    <w:rsid w:val="00442614"/>
    <w:rsid w:val="00444393"/>
    <w:rsid w:val="004470B5"/>
    <w:rsid w:val="004478E1"/>
    <w:rsid w:val="00450536"/>
    <w:rsid w:val="004506C7"/>
    <w:rsid w:val="00450759"/>
    <w:rsid w:val="00451EC4"/>
    <w:rsid w:val="00452A76"/>
    <w:rsid w:val="004544FF"/>
    <w:rsid w:val="0045594D"/>
    <w:rsid w:val="0045682C"/>
    <w:rsid w:val="00456D9A"/>
    <w:rsid w:val="00457E25"/>
    <w:rsid w:val="0046052D"/>
    <w:rsid w:val="00461861"/>
    <w:rsid w:val="00461F95"/>
    <w:rsid w:val="00462D6A"/>
    <w:rsid w:val="0046306E"/>
    <w:rsid w:val="00463EA7"/>
    <w:rsid w:val="00466CCB"/>
    <w:rsid w:val="0046705D"/>
    <w:rsid w:val="00471C07"/>
    <w:rsid w:val="0047226C"/>
    <w:rsid w:val="0047528D"/>
    <w:rsid w:val="00475D8E"/>
    <w:rsid w:val="0047601D"/>
    <w:rsid w:val="00477229"/>
    <w:rsid w:val="004845C6"/>
    <w:rsid w:val="00485006"/>
    <w:rsid w:val="00485277"/>
    <w:rsid w:val="0048659D"/>
    <w:rsid w:val="00486A63"/>
    <w:rsid w:val="00487919"/>
    <w:rsid w:val="004916A9"/>
    <w:rsid w:val="00491B42"/>
    <w:rsid w:val="00493C87"/>
    <w:rsid w:val="004943AF"/>
    <w:rsid w:val="00494934"/>
    <w:rsid w:val="004953A0"/>
    <w:rsid w:val="004956E8"/>
    <w:rsid w:val="004A0CB5"/>
    <w:rsid w:val="004A179B"/>
    <w:rsid w:val="004A1C79"/>
    <w:rsid w:val="004A202D"/>
    <w:rsid w:val="004A4308"/>
    <w:rsid w:val="004A4E91"/>
    <w:rsid w:val="004A7986"/>
    <w:rsid w:val="004B153B"/>
    <w:rsid w:val="004B1A5B"/>
    <w:rsid w:val="004B2BD2"/>
    <w:rsid w:val="004B3ECB"/>
    <w:rsid w:val="004B419D"/>
    <w:rsid w:val="004B51ED"/>
    <w:rsid w:val="004C14FB"/>
    <w:rsid w:val="004C1FA2"/>
    <w:rsid w:val="004C2328"/>
    <w:rsid w:val="004C4221"/>
    <w:rsid w:val="004C422C"/>
    <w:rsid w:val="004C489F"/>
    <w:rsid w:val="004C51F2"/>
    <w:rsid w:val="004C6E35"/>
    <w:rsid w:val="004D03D6"/>
    <w:rsid w:val="004D098C"/>
    <w:rsid w:val="004D0E52"/>
    <w:rsid w:val="004D14F4"/>
    <w:rsid w:val="004D26D7"/>
    <w:rsid w:val="004D3320"/>
    <w:rsid w:val="004D36FC"/>
    <w:rsid w:val="004D5857"/>
    <w:rsid w:val="004E063A"/>
    <w:rsid w:val="004E2824"/>
    <w:rsid w:val="004E3D37"/>
    <w:rsid w:val="004E3F26"/>
    <w:rsid w:val="004E57F9"/>
    <w:rsid w:val="004E6477"/>
    <w:rsid w:val="004E7418"/>
    <w:rsid w:val="004F10E9"/>
    <w:rsid w:val="004F1AF4"/>
    <w:rsid w:val="004F28C6"/>
    <w:rsid w:val="004F3CCF"/>
    <w:rsid w:val="004F4081"/>
    <w:rsid w:val="004F4579"/>
    <w:rsid w:val="004F4D9A"/>
    <w:rsid w:val="005002FE"/>
    <w:rsid w:val="00500A50"/>
    <w:rsid w:val="005019B1"/>
    <w:rsid w:val="005019F6"/>
    <w:rsid w:val="00502769"/>
    <w:rsid w:val="00502D57"/>
    <w:rsid w:val="00504122"/>
    <w:rsid w:val="0050436A"/>
    <w:rsid w:val="0050719F"/>
    <w:rsid w:val="005072AE"/>
    <w:rsid w:val="0050749E"/>
    <w:rsid w:val="00511180"/>
    <w:rsid w:val="005113D0"/>
    <w:rsid w:val="00511997"/>
    <w:rsid w:val="00511F6D"/>
    <w:rsid w:val="00513A3C"/>
    <w:rsid w:val="0051441E"/>
    <w:rsid w:val="005149EE"/>
    <w:rsid w:val="0051700F"/>
    <w:rsid w:val="00520BF4"/>
    <w:rsid w:val="00520EF9"/>
    <w:rsid w:val="005216A0"/>
    <w:rsid w:val="00521FDF"/>
    <w:rsid w:val="00522739"/>
    <w:rsid w:val="005241AC"/>
    <w:rsid w:val="00525AA3"/>
    <w:rsid w:val="00526D12"/>
    <w:rsid w:val="005273DB"/>
    <w:rsid w:val="0053034F"/>
    <w:rsid w:val="0053090C"/>
    <w:rsid w:val="00531497"/>
    <w:rsid w:val="00532B83"/>
    <w:rsid w:val="00533C05"/>
    <w:rsid w:val="00534F23"/>
    <w:rsid w:val="00535AEA"/>
    <w:rsid w:val="00536C71"/>
    <w:rsid w:val="00540164"/>
    <w:rsid w:val="005410FD"/>
    <w:rsid w:val="0054112B"/>
    <w:rsid w:val="00541966"/>
    <w:rsid w:val="00542DC0"/>
    <w:rsid w:val="005451FB"/>
    <w:rsid w:val="00550946"/>
    <w:rsid w:val="00552159"/>
    <w:rsid w:val="00552295"/>
    <w:rsid w:val="00554852"/>
    <w:rsid w:val="0055636F"/>
    <w:rsid w:val="00557F50"/>
    <w:rsid w:val="00560AEF"/>
    <w:rsid w:val="00561A89"/>
    <w:rsid w:val="00561CEC"/>
    <w:rsid w:val="005631E9"/>
    <w:rsid w:val="00563D20"/>
    <w:rsid w:val="00564441"/>
    <w:rsid w:val="0056547B"/>
    <w:rsid w:val="00565498"/>
    <w:rsid w:val="005654B0"/>
    <w:rsid w:val="0056567D"/>
    <w:rsid w:val="005659BF"/>
    <w:rsid w:val="00565B9C"/>
    <w:rsid w:val="00565D2E"/>
    <w:rsid w:val="00566620"/>
    <w:rsid w:val="00567304"/>
    <w:rsid w:val="00567C3A"/>
    <w:rsid w:val="00567D13"/>
    <w:rsid w:val="0057133E"/>
    <w:rsid w:val="00572909"/>
    <w:rsid w:val="00572927"/>
    <w:rsid w:val="0057320B"/>
    <w:rsid w:val="00573E43"/>
    <w:rsid w:val="00574677"/>
    <w:rsid w:val="0057547F"/>
    <w:rsid w:val="00575C75"/>
    <w:rsid w:val="00576FF3"/>
    <w:rsid w:val="0057726B"/>
    <w:rsid w:val="005772EA"/>
    <w:rsid w:val="00580D00"/>
    <w:rsid w:val="00580F86"/>
    <w:rsid w:val="00581E94"/>
    <w:rsid w:val="005829A3"/>
    <w:rsid w:val="005845AE"/>
    <w:rsid w:val="0059009F"/>
    <w:rsid w:val="00590C67"/>
    <w:rsid w:val="005925D7"/>
    <w:rsid w:val="005925E7"/>
    <w:rsid w:val="005928C1"/>
    <w:rsid w:val="00592941"/>
    <w:rsid w:val="0059694D"/>
    <w:rsid w:val="00596B16"/>
    <w:rsid w:val="005A1665"/>
    <w:rsid w:val="005A211E"/>
    <w:rsid w:val="005A25D2"/>
    <w:rsid w:val="005A3BB9"/>
    <w:rsid w:val="005A559F"/>
    <w:rsid w:val="005A7AE5"/>
    <w:rsid w:val="005B2CE5"/>
    <w:rsid w:val="005B3164"/>
    <w:rsid w:val="005B3D15"/>
    <w:rsid w:val="005B51C3"/>
    <w:rsid w:val="005B7673"/>
    <w:rsid w:val="005B7D15"/>
    <w:rsid w:val="005C09E5"/>
    <w:rsid w:val="005C0F94"/>
    <w:rsid w:val="005C2B4F"/>
    <w:rsid w:val="005C36D2"/>
    <w:rsid w:val="005C3AAA"/>
    <w:rsid w:val="005C414F"/>
    <w:rsid w:val="005C55DB"/>
    <w:rsid w:val="005C5A28"/>
    <w:rsid w:val="005D23B1"/>
    <w:rsid w:val="005D4522"/>
    <w:rsid w:val="005D54E6"/>
    <w:rsid w:val="005D6BFE"/>
    <w:rsid w:val="005D6FB3"/>
    <w:rsid w:val="005D7167"/>
    <w:rsid w:val="005F0501"/>
    <w:rsid w:val="005F14A3"/>
    <w:rsid w:val="005F16BF"/>
    <w:rsid w:val="005F21A6"/>
    <w:rsid w:val="005F2531"/>
    <w:rsid w:val="005F2605"/>
    <w:rsid w:val="005F2F80"/>
    <w:rsid w:val="005F511A"/>
    <w:rsid w:val="005F56D6"/>
    <w:rsid w:val="005F610E"/>
    <w:rsid w:val="005F6645"/>
    <w:rsid w:val="005F776A"/>
    <w:rsid w:val="006000B0"/>
    <w:rsid w:val="00605C64"/>
    <w:rsid w:val="00606528"/>
    <w:rsid w:val="006074BF"/>
    <w:rsid w:val="00610B3B"/>
    <w:rsid w:val="0061106F"/>
    <w:rsid w:val="0061148D"/>
    <w:rsid w:val="0061264C"/>
    <w:rsid w:val="0061315C"/>
    <w:rsid w:val="006136C7"/>
    <w:rsid w:val="00614A2B"/>
    <w:rsid w:val="00614B49"/>
    <w:rsid w:val="00614C2E"/>
    <w:rsid w:val="006150FC"/>
    <w:rsid w:val="00615113"/>
    <w:rsid w:val="006155CE"/>
    <w:rsid w:val="00615C54"/>
    <w:rsid w:val="006172D5"/>
    <w:rsid w:val="006208DA"/>
    <w:rsid w:val="00620DE8"/>
    <w:rsid w:val="00620F5F"/>
    <w:rsid w:val="00621177"/>
    <w:rsid w:val="00621313"/>
    <w:rsid w:val="006228C6"/>
    <w:rsid w:val="0062301B"/>
    <w:rsid w:val="00623ED8"/>
    <w:rsid w:val="00624315"/>
    <w:rsid w:val="0062565A"/>
    <w:rsid w:val="0062637A"/>
    <w:rsid w:val="00626501"/>
    <w:rsid w:val="00626675"/>
    <w:rsid w:val="00626A41"/>
    <w:rsid w:val="006319A5"/>
    <w:rsid w:val="00631AD7"/>
    <w:rsid w:val="00631EF3"/>
    <w:rsid w:val="00632B74"/>
    <w:rsid w:val="00632BCD"/>
    <w:rsid w:val="00634552"/>
    <w:rsid w:val="00637195"/>
    <w:rsid w:val="00637C35"/>
    <w:rsid w:val="0064057D"/>
    <w:rsid w:val="006412A8"/>
    <w:rsid w:val="0064142A"/>
    <w:rsid w:val="00641E90"/>
    <w:rsid w:val="006432B4"/>
    <w:rsid w:val="00643838"/>
    <w:rsid w:val="006459CF"/>
    <w:rsid w:val="0064790E"/>
    <w:rsid w:val="00647D78"/>
    <w:rsid w:val="006528D7"/>
    <w:rsid w:val="00652B1A"/>
    <w:rsid w:val="00653A76"/>
    <w:rsid w:val="00654807"/>
    <w:rsid w:val="006549BF"/>
    <w:rsid w:val="006556EB"/>
    <w:rsid w:val="00655C3F"/>
    <w:rsid w:val="0065647D"/>
    <w:rsid w:val="00656F7D"/>
    <w:rsid w:val="00660A4E"/>
    <w:rsid w:val="006615FC"/>
    <w:rsid w:val="006618F4"/>
    <w:rsid w:val="00662E59"/>
    <w:rsid w:val="00663532"/>
    <w:rsid w:val="00664834"/>
    <w:rsid w:val="00666412"/>
    <w:rsid w:val="006674E2"/>
    <w:rsid w:val="006732C7"/>
    <w:rsid w:val="00673AF1"/>
    <w:rsid w:val="00673CB3"/>
    <w:rsid w:val="00673FC7"/>
    <w:rsid w:val="006756D9"/>
    <w:rsid w:val="006776D6"/>
    <w:rsid w:val="006779E0"/>
    <w:rsid w:val="00680152"/>
    <w:rsid w:val="00681B20"/>
    <w:rsid w:val="00681F59"/>
    <w:rsid w:val="0068250D"/>
    <w:rsid w:val="00683113"/>
    <w:rsid w:val="00683B77"/>
    <w:rsid w:val="0068776D"/>
    <w:rsid w:val="006903CC"/>
    <w:rsid w:val="00690EF1"/>
    <w:rsid w:val="00692231"/>
    <w:rsid w:val="00693429"/>
    <w:rsid w:val="00694A13"/>
    <w:rsid w:val="00695265"/>
    <w:rsid w:val="006A023E"/>
    <w:rsid w:val="006A0C0E"/>
    <w:rsid w:val="006A0CE6"/>
    <w:rsid w:val="006A2380"/>
    <w:rsid w:val="006A38B1"/>
    <w:rsid w:val="006A41D9"/>
    <w:rsid w:val="006A4CE4"/>
    <w:rsid w:val="006A5FB0"/>
    <w:rsid w:val="006A6113"/>
    <w:rsid w:val="006A7107"/>
    <w:rsid w:val="006B3395"/>
    <w:rsid w:val="006B3C0A"/>
    <w:rsid w:val="006B50BE"/>
    <w:rsid w:val="006B5F33"/>
    <w:rsid w:val="006B7080"/>
    <w:rsid w:val="006B7AB2"/>
    <w:rsid w:val="006B7BAA"/>
    <w:rsid w:val="006C1A66"/>
    <w:rsid w:val="006C2F93"/>
    <w:rsid w:val="006C53BF"/>
    <w:rsid w:val="006C62C0"/>
    <w:rsid w:val="006C652C"/>
    <w:rsid w:val="006C6910"/>
    <w:rsid w:val="006C7FE8"/>
    <w:rsid w:val="006D01F5"/>
    <w:rsid w:val="006D04F3"/>
    <w:rsid w:val="006D078D"/>
    <w:rsid w:val="006D1122"/>
    <w:rsid w:val="006D25D4"/>
    <w:rsid w:val="006D3025"/>
    <w:rsid w:val="006D36CE"/>
    <w:rsid w:val="006E0141"/>
    <w:rsid w:val="006E0630"/>
    <w:rsid w:val="006E0790"/>
    <w:rsid w:val="006E1940"/>
    <w:rsid w:val="006E1BD4"/>
    <w:rsid w:val="006E2FC0"/>
    <w:rsid w:val="006E3542"/>
    <w:rsid w:val="006E441A"/>
    <w:rsid w:val="006E6F3C"/>
    <w:rsid w:val="006E7F23"/>
    <w:rsid w:val="006F1DFB"/>
    <w:rsid w:val="006F3185"/>
    <w:rsid w:val="006F4300"/>
    <w:rsid w:val="006F7A35"/>
    <w:rsid w:val="006F7D52"/>
    <w:rsid w:val="00700BB3"/>
    <w:rsid w:val="0070133F"/>
    <w:rsid w:val="00703F02"/>
    <w:rsid w:val="00704183"/>
    <w:rsid w:val="00704329"/>
    <w:rsid w:val="00704D44"/>
    <w:rsid w:val="00705F18"/>
    <w:rsid w:val="0070619F"/>
    <w:rsid w:val="00706F4C"/>
    <w:rsid w:val="00710849"/>
    <w:rsid w:val="007124E9"/>
    <w:rsid w:val="00716269"/>
    <w:rsid w:val="007163A1"/>
    <w:rsid w:val="00717746"/>
    <w:rsid w:val="00717E36"/>
    <w:rsid w:val="00720281"/>
    <w:rsid w:val="00720B03"/>
    <w:rsid w:val="00720E88"/>
    <w:rsid w:val="00721B9B"/>
    <w:rsid w:val="0072305A"/>
    <w:rsid w:val="00724050"/>
    <w:rsid w:val="00724266"/>
    <w:rsid w:val="00726119"/>
    <w:rsid w:val="0072641C"/>
    <w:rsid w:val="00726F09"/>
    <w:rsid w:val="007271B6"/>
    <w:rsid w:val="00730739"/>
    <w:rsid w:val="00731C0B"/>
    <w:rsid w:val="007325FC"/>
    <w:rsid w:val="007330AB"/>
    <w:rsid w:val="007357B0"/>
    <w:rsid w:val="00735D25"/>
    <w:rsid w:val="0073610C"/>
    <w:rsid w:val="007378D1"/>
    <w:rsid w:val="00741B3F"/>
    <w:rsid w:val="00742FBF"/>
    <w:rsid w:val="0074570C"/>
    <w:rsid w:val="007457B2"/>
    <w:rsid w:val="00746198"/>
    <w:rsid w:val="00746784"/>
    <w:rsid w:val="00747850"/>
    <w:rsid w:val="00750830"/>
    <w:rsid w:val="00750AFE"/>
    <w:rsid w:val="00754D11"/>
    <w:rsid w:val="00755807"/>
    <w:rsid w:val="00755F7A"/>
    <w:rsid w:val="00756114"/>
    <w:rsid w:val="00756EAA"/>
    <w:rsid w:val="0075746E"/>
    <w:rsid w:val="0076138E"/>
    <w:rsid w:val="00761E06"/>
    <w:rsid w:val="00763112"/>
    <w:rsid w:val="0076318D"/>
    <w:rsid w:val="00763690"/>
    <w:rsid w:val="007640D1"/>
    <w:rsid w:val="007653AB"/>
    <w:rsid w:val="007659B0"/>
    <w:rsid w:val="00766617"/>
    <w:rsid w:val="00766755"/>
    <w:rsid w:val="00766B4A"/>
    <w:rsid w:val="00770CE8"/>
    <w:rsid w:val="00771750"/>
    <w:rsid w:val="00772736"/>
    <w:rsid w:val="007748C8"/>
    <w:rsid w:val="00774E82"/>
    <w:rsid w:val="0077650D"/>
    <w:rsid w:val="00780227"/>
    <w:rsid w:val="00780527"/>
    <w:rsid w:val="00781C50"/>
    <w:rsid w:val="007826EC"/>
    <w:rsid w:val="00783920"/>
    <w:rsid w:val="0078415A"/>
    <w:rsid w:val="00785AFC"/>
    <w:rsid w:val="00786F36"/>
    <w:rsid w:val="00787282"/>
    <w:rsid w:val="007877F8"/>
    <w:rsid w:val="00793A6E"/>
    <w:rsid w:val="00794142"/>
    <w:rsid w:val="00796DA0"/>
    <w:rsid w:val="007A089C"/>
    <w:rsid w:val="007A0D8D"/>
    <w:rsid w:val="007A169C"/>
    <w:rsid w:val="007A35E5"/>
    <w:rsid w:val="007A3C5D"/>
    <w:rsid w:val="007A40C3"/>
    <w:rsid w:val="007A4738"/>
    <w:rsid w:val="007A53EC"/>
    <w:rsid w:val="007A5B21"/>
    <w:rsid w:val="007B1467"/>
    <w:rsid w:val="007B2246"/>
    <w:rsid w:val="007B4A91"/>
    <w:rsid w:val="007B597C"/>
    <w:rsid w:val="007B6115"/>
    <w:rsid w:val="007B6DFB"/>
    <w:rsid w:val="007C08EA"/>
    <w:rsid w:val="007C14D2"/>
    <w:rsid w:val="007C15A6"/>
    <w:rsid w:val="007C2ED2"/>
    <w:rsid w:val="007C474D"/>
    <w:rsid w:val="007C4818"/>
    <w:rsid w:val="007C58F0"/>
    <w:rsid w:val="007D0E7A"/>
    <w:rsid w:val="007D0F1E"/>
    <w:rsid w:val="007D11F9"/>
    <w:rsid w:val="007D299C"/>
    <w:rsid w:val="007D4E59"/>
    <w:rsid w:val="007D4ECB"/>
    <w:rsid w:val="007D5F26"/>
    <w:rsid w:val="007D7CEA"/>
    <w:rsid w:val="007D7FC8"/>
    <w:rsid w:val="007E00C6"/>
    <w:rsid w:val="007E062D"/>
    <w:rsid w:val="007E06C8"/>
    <w:rsid w:val="007E0923"/>
    <w:rsid w:val="007E0977"/>
    <w:rsid w:val="007E165A"/>
    <w:rsid w:val="007E1951"/>
    <w:rsid w:val="007E3A02"/>
    <w:rsid w:val="007E501F"/>
    <w:rsid w:val="007E62F1"/>
    <w:rsid w:val="007E6911"/>
    <w:rsid w:val="007E6957"/>
    <w:rsid w:val="007E7AFA"/>
    <w:rsid w:val="007F0BF2"/>
    <w:rsid w:val="007F1425"/>
    <w:rsid w:val="007F263B"/>
    <w:rsid w:val="007F2F50"/>
    <w:rsid w:val="007F3446"/>
    <w:rsid w:val="007F3DDA"/>
    <w:rsid w:val="007F5743"/>
    <w:rsid w:val="007F6510"/>
    <w:rsid w:val="008008F9"/>
    <w:rsid w:val="00805ACE"/>
    <w:rsid w:val="008118CF"/>
    <w:rsid w:val="00811AB3"/>
    <w:rsid w:val="00812BEB"/>
    <w:rsid w:val="00814BEF"/>
    <w:rsid w:val="00815F19"/>
    <w:rsid w:val="00817DCD"/>
    <w:rsid w:val="008210E7"/>
    <w:rsid w:val="0082208B"/>
    <w:rsid w:val="00822098"/>
    <w:rsid w:val="00822921"/>
    <w:rsid w:val="00823212"/>
    <w:rsid w:val="00823D1E"/>
    <w:rsid w:val="00823D25"/>
    <w:rsid w:val="008240C9"/>
    <w:rsid w:val="00825769"/>
    <w:rsid w:val="00826218"/>
    <w:rsid w:val="008269CA"/>
    <w:rsid w:val="008277D9"/>
    <w:rsid w:val="00827FC7"/>
    <w:rsid w:val="008301D6"/>
    <w:rsid w:val="008315F9"/>
    <w:rsid w:val="0083252F"/>
    <w:rsid w:val="00833691"/>
    <w:rsid w:val="00833F9E"/>
    <w:rsid w:val="0083582A"/>
    <w:rsid w:val="0083627F"/>
    <w:rsid w:val="00836AEE"/>
    <w:rsid w:val="0084005F"/>
    <w:rsid w:val="00842BCC"/>
    <w:rsid w:val="008437F4"/>
    <w:rsid w:val="00843B2C"/>
    <w:rsid w:val="00844CC3"/>
    <w:rsid w:val="008462D4"/>
    <w:rsid w:val="0084653D"/>
    <w:rsid w:val="00847777"/>
    <w:rsid w:val="00850EF4"/>
    <w:rsid w:val="008549CF"/>
    <w:rsid w:val="00854C35"/>
    <w:rsid w:val="00854FE7"/>
    <w:rsid w:val="00857DC4"/>
    <w:rsid w:val="00860F0A"/>
    <w:rsid w:val="00861016"/>
    <w:rsid w:val="00863503"/>
    <w:rsid w:val="00867CEE"/>
    <w:rsid w:val="00871ED8"/>
    <w:rsid w:val="00872B32"/>
    <w:rsid w:val="00873CD0"/>
    <w:rsid w:val="00874E02"/>
    <w:rsid w:val="008760B1"/>
    <w:rsid w:val="00876288"/>
    <w:rsid w:val="008767FE"/>
    <w:rsid w:val="00877715"/>
    <w:rsid w:val="0088118B"/>
    <w:rsid w:val="00883C92"/>
    <w:rsid w:val="00884BEE"/>
    <w:rsid w:val="0089157E"/>
    <w:rsid w:val="00891AA8"/>
    <w:rsid w:val="008925B5"/>
    <w:rsid w:val="008926B4"/>
    <w:rsid w:val="00893772"/>
    <w:rsid w:val="00893D18"/>
    <w:rsid w:val="00894623"/>
    <w:rsid w:val="00894C35"/>
    <w:rsid w:val="008952E4"/>
    <w:rsid w:val="00896162"/>
    <w:rsid w:val="00896982"/>
    <w:rsid w:val="00896D21"/>
    <w:rsid w:val="00897A2B"/>
    <w:rsid w:val="00897D17"/>
    <w:rsid w:val="00897DFB"/>
    <w:rsid w:val="008A373C"/>
    <w:rsid w:val="008A3EF1"/>
    <w:rsid w:val="008A3F83"/>
    <w:rsid w:val="008A4342"/>
    <w:rsid w:val="008A621C"/>
    <w:rsid w:val="008B0D4B"/>
    <w:rsid w:val="008B124A"/>
    <w:rsid w:val="008B2CDE"/>
    <w:rsid w:val="008B3D22"/>
    <w:rsid w:val="008B4758"/>
    <w:rsid w:val="008B5DD2"/>
    <w:rsid w:val="008B6896"/>
    <w:rsid w:val="008C11F7"/>
    <w:rsid w:val="008C2511"/>
    <w:rsid w:val="008C2F41"/>
    <w:rsid w:val="008C321E"/>
    <w:rsid w:val="008C4FA7"/>
    <w:rsid w:val="008D0C41"/>
    <w:rsid w:val="008D0CDC"/>
    <w:rsid w:val="008D157E"/>
    <w:rsid w:val="008D2E2D"/>
    <w:rsid w:val="008D4244"/>
    <w:rsid w:val="008E02A4"/>
    <w:rsid w:val="008E08C0"/>
    <w:rsid w:val="008E0932"/>
    <w:rsid w:val="008E0F3D"/>
    <w:rsid w:val="008E14DB"/>
    <w:rsid w:val="008E2227"/>
    <w:rsid w:val="008E2362"/>
    <w:rsid w:val="008E23F0"/>
    <w:rsid w:val="008E395D"/>
    <w:rsid w:val="008E4133"/>
    <w:rsid w:val="008E4533"/>
    <w:rsid w:val="008E666D"/>
    <w:rsid w:val="008E6A35"/>
    <w:rsid w:val="008E786B"/>
    <w:rsid w:val="008F0189"/>
    <w:rsid w:val="008F01ED"/>
    <w:rsid w:val="008F0DFD"/>
    <w:rsid w:val="008F15A3"/>
    <w:rsid w:val="008F2020"/>
    <w:rsid w:val="008F23C0"/>
    <w:rsid w:val="008F2FF5"/>
    <w:rsid w:val="008F3060"/>
    <w:rsid w:val="008F6445"/>
    <w:rsid w:val="0090157F"/>
    <w:rsid w:val="00901832"/>
    <w:rsid w:val="00902B80"/>
    <w:rsid w:val="00902F76"/>
    <w:rsid w:val="00902FB4"/>
    <w:rsid w:val="0090319E"/>
    <w:rsid w:val="009032EC"/>
    <w:rsid w:val="00911967"/>
    <w:rsid w:val="00912240"/>
    <w:rsid w:val="00912A1F"/>
    <w:rsid w:val="00912C3D"/>
    <w:rsid w:val="0091395C"/>
    <w:rsid w:val="009157EA"/>
    <w:rsid w:val="00915927"/>
    <w:rsid w:val="009179A8"/>
    <w:rsid w:val="0092002D"/>
    <w:rsid w:val="00921CF2"/>
    <w:rsid w:val="009227CD"/>
    <w:rsid w:val="00922D79"/>
    <w:rsid w:val="0092345B"/>
    <w:rsid w:val="00923657"/>
    <w:rsid w:val="009236C5"/>
    <w:rsid w:val="00923AE5"/>
    <w:rsid w:val="00924178"/>
    <w:rsid w:val="00927758"/>
    <w:rsid w:val="00932AA0"/>
    <w:rsid w:val="00932E60"/>
    <w:rsid w:val="00933D0F"/>
    <w:rsid w:val="00934A90"/>
    <w:rsid w:val="00934D47"/>
    <w:rsid w:val="0093664F"/>
    <w:rsid w:val="009367C0"/>
    <w:rsid w:val="00937134"/>
    <w:rsid w:val="00937D61"/>
    <w:rsid w:val="009414A2"/>
    <w:rsid w:val="0094307B"/>
    <w:rsid w:val="00943DAF"/>
    <w:rsid w:val="009441BA"/>
    <w:rsid w:val="00945BBB"/>
    <w:rsid w:val="00945EF8"/>
    <w:rsid w:val="0094601B"/>
    <w:rsid w:val="0094726C"/>
    <w:rsid w:val="00947B04"/>
    <w:rsid w:val="00950D06"/>
    <w:rsid w:val="009526AE"/>
    <w:rsid w:val="00952A97"/>
    <w:rsid w:val="00952FCF"/>
    <w:rsid w:val="00953611"/>
    <w:rsid w:val="00953D05"/>
    <w:rsid w:val="0095445E"/>
    <w:rsid w:val="00954854"/>
    <w:rsid w:val="00955611"/>
    <w:rsid w:val="00955953"/>
    <w:rsid w:val="00956025"/>
    <w:rsid w:val="00956417"/>
    <w:rsid w:val="00956F6D"/>
    <w:rsid w:val="009574FF"/>
    <w:rsid w:val="0095751D"/>
    <w:rsid w:val="009606E6"/>
    <w:rsid w:val="00961CF2"/>
    <w:rsid w:val="00962565"/>
    <w:rsid w:val="0096315C"/>
    <w:rsid w:val="00963B58"/>
    <w:rsid w:val="00964C85"/>
    <w:rsid w:val="00964D9A"/>
    <w:rsid w:val="00964DAA"/>
    <w:rsid w:val="00967981"/>
    <w:rsid w:val="009707B9"/>
    <w:rsid w:val="00970B66"/>
    <w:rsid w:val="009714D2"/>
    <w:rsid w:val="009745F1"/>
    <w:rsid w:val="00974EE5"/>
    <w:rsid w:val="009775B9"/>
    <w:rsid w:val="00981F48"/>
    <w:rsid w:val="009832A2"/>
    <w:rsid w:val="009850A8"/>
    <w:rsid w:val="0098537E"/>
    <w:rsid w:val="009869D2"/>
    <w:rsid w:val="00987076"/>
    <w:rsid w:val="00987AD1"/>
    <w:rsid w:val="00987B2F"/>
    <w:rsid w:val="009900C5"/>
    <w:rsid w:val="00990288"/>
    <w:rsid w:val="009903A6"/>
    <w:rsid w:val="009903EC"/>
    <w:rsid w:val="00990952"/>
    <w:rsid w:val="00991D17"/>
    <w:rsid w:val="00992047"/>
    <w:rsid w:val="0099221B"/>
    <w:rsid w:val="00993B44"/>
    <w:rsid w:val="00994EC0"/>
    <w:rsid w:val="009950EB"/>
    <w:rsid w:val="009954E7"/>
    <w:rsid w:val="009960B6"/>
    <w:rsid w:val="009962C5"/>
    <w:rsid w:val="0099750B"/>
    <w:rsid w:val="009A00E6"/>
    <w:rsid w:val="009A231F"/>
    <w:rsid w:val="009A4153"/>
    <w:rsid w:val="009A462B"/>
    <w:rsid w:val="009A5FD4"/>
    <w:rsid w:val="009B1187"/>
    <w:rsid w:val="009B11A0"/>
    <w:rsid w:val="009B5C13"/>
    <w:rsid w:val="009B69F6"/>
    <w:rsid w:val="009B7571"/>
    <w:rsid w:val="009B75E8"/>
    <w:rsid w:val="009B7EEC"/>
    <w:rsid w:val="009C0146"/>
    <w:rsid w:val="009C0C2C"/>
    <w:rsid w:val="009C1511"/>
    <w:rsid w:val="009C32FA"/>
    <w:rsid w:val="009C4D34"/>
    <w:rsid w:val="009C51FD"/>
    <w:rsid w:val="009C6124"/>
    <w:rsid w:val="009C650C"/>
    <w:rsid w:val="009C68A8"/>
    <w:rsid w:val="009C74EF"/>
    <w:rsid w:val="009D00E6"/>
    <w:rsid w:val="009D0C30"/>
    <w:rsid w:val="009D191F"/>
    <w:rsid w:val="009D2761"/>
    <w:rsid w:val="009D34F9"/>
    <w:rsid w:val="009D4110"/>
    <w:rsid w:val="009D455F"/>
    <w:rsid w:val="009D4E63"/>
    <w:rsid w:val="009D5271"/>
    <w:rsid w:val="009D54E0"/>
    <w:rsid w:val="009D6A36"/>
    <w:rsid w:val="009D744E"/>
    <w:rsid w:val="009D79A6"/>
    <w:rsid w:val="009D7BF7"/>
    <w:rsid w:val="009E01F5"/>
    <w:rsid w:val="009E0885"/>
    <w:rsid w:val="009E1348"/>
    <w:rsid w:val="009E3137"/>
    <w:rsid w:val="009E38F1"/>
    <w:rsid w:val="009E4A85"/>
    <w:rsid w:val="009E64FC"/>
    <w:rsid w:val="009E7FF4"/>
    <w:rsid w:val="009F1967"/>
    <w:rsid w:val="009F1D05"/>
    <w:rsid w:val="009F2917"/>
    <w:rsid w:val="009F297B"/>
    <w:rsid w:val="009F2DBB"/>
    <w:rsid w:val="009F2DE9"/>
    <w:rsid w:val="009F471A"/>
    <w:rsid w:val="009F4A1A"/>
    <w:rsid w:val="009F7F83"/>
    <w:rsid w:val="00A001E5"/>
    <w:rsid w:val="00A00715"/>
    <w:rsid w:val="00A033FA"/>
    <w:rsid w:val="00A04155"/>
    <w:rsid w:val="00A079E8"/>
    <w:rsid w:val="00A1128C"/>
    <w:rsid w:val="00A11BDA"/>
    <w:rsid w:val="00A13708"/>
    <w:rsid w:val="00A14B7F"/>
    <w:rsid w:val="00A154A0"/>
    <w:rsid w:val="00A16343"/>
    <w:rsid w:val="00A16C4A"/>
    <w:rsid w:val="00A20A82"/>
    <w:rsid w:val="00A21C78"/>
    <w:rsid w:val="00A235B9"/>
    <w:rsid w:val="00A240B0"/>
    <w:rsid w:val="00A249BB"/>
    <w:rsid w:val="00A254A8"/>
    <w:rsid w:val="00A26A20"/>
    <w:rsid w:val="00A26C68"/>
    <w:rsid w:val="00A2707F"/>
    <w:rsid w:val="00A2715E"/>
    <w:rsid w:val="00A310C1"/>
    <w:rsid w:val="00A3201A"/>
    <w:rsid w:val="00A32809"/>
    <w:rsid w:val="00A345E4"/>
    <w:rsid w:val="00A35CB4"/>
    <w:rsid w:val="00A377FD"/>
    <w:rsid w:val="00A37929"/>
    <w:rsid w:val="00A403DC"/>
    <w:rsid w:val="00A43635"/>
    <w:rsid w:val="00A43F15"/>
    <w:rsid w:val="00A440B7"/>
    <w:rsid w:val="00A45E72"/>
    <w:rsid w:val="00A462AB"/>
    <w:rsid w:val="00A475F2"/>
    <w:rsid w:val="00A50BF4"/>
    <w:rsid w:val="00A53139"/>
    <w:rsid w:val="00A534D2"/>
    <w:rsid w:val="00A53539"/>
    <w:rsid w:val="00A56C92"/>
    <w:rsid w:val="00A57B98"/>
    <w:rsid w:val="00A57EBA"/>
    <w:rsid w:val="00A604B0"/>
    <w:rsid w:val="00A61417"/>
    <w:rsid w:val="00A6259A"/>
    <w:rsid w:val="00A6295A"/>
    <w:rsid w:val="00A62970"/>
    <w:rsid w:val="00A62C06"/>
    <w:rsid w:val="00A63BE3"/>
    <w:rsid w:val="00A63DCF"/>
    <w:rsid w:val="00A64017"/>
    <w:rsid w:val="00A643F7"/>
    <w:rsid w:val="00A65939"/>
    <w:rsid w:val="00A65FF4"/>
    <w:rsid w:val="00A66993"/>
    <w:rsid w:val="00A66FD6"/>
    <w:rsid w:val="00A67A24"/>
    <w:rsid w:val="00A71CDB"/>
    <w:rsid w:val="00A73777"/>
    <w:rsid w:val="00A75F07"/>
    <w:rsid w:val="00A81080"/>
    <w:rsid w:val="00A820F5"/>
    <w:rsid w:val="00A82328"/>
    <w:rsid w:val="00A83BF5"/>
    <w:rsid w:val="00A8662A"/>
    <w:rsid w:val="00A92112"/>
    <w:rsid w:val="00A925DE"/>
    <w:rsid w:val="00A931CF"/>
    <w:rsid w:val="00A9390E"/>
    <w:rsid w:val="00A94BA0"/>
    <w:rsid w:val="00A94F73"/>
    <w:rsid w:val="00A95A07"/>
    <w:rsid w:val="00A97019"/>
    <w:rsid w:val="00A971B5"/>
    <w:rsid w:val="00A9741C"/>
    <w:rsid w:val="00AA0542"/>
    <w:rsid w:val="00AA1F9B"/>
    <w:rsid w:val="00AA26C0"/>
    <w:rsid w:val="00AA2BCF"/>
    <w:rsid w:val="00AA3C60"/>
    <w:rsid w:val="00AA4EB0"/>
    <w:rsid w:val="00AA5993"/>
    <w:rsid w:val="00AA7BD9"/>
    <w:rsid w:val="00AB0D97"/>
    <w:rsid w:val="00AB14A3"/>
    <w:rsid w:val="00AB1BAC"/>
    <w:rsid w:val="00AB2150"/>
    <w:rsid w:val="00AB24CE"/>
    <w:rsid w:val="00AB267D"/>
    <w:rsid w:val="00AB4D9D"/>
    <w:rsid w:val="00AB4F4C"/>
    <w:rsid w:val="00AC006E"/>
    <w:rsid w:val="00AC0F40"/>
    <w:rsid w:val="00AC2B45"/>
    <w:rsid w:val="00AC442E"/>
    <w:rsid w:val="00AC4CAC"/>
    <w:rsid w:val="00AC6E48"/>
    <w:rsid w:val="00AC7E69"/>
    <w:rsid w:val="00AD1431"/>
    <w:rsid w:val="00AD2987"/>
    <w:rsid w:val="00AD304D"/>
    <w:rsid w:val="00AD3954"/>
    <w:rsid w:val="00AD4431"/>
    <w:rsid w:val="00AD724A"/>
    <w:rsid w:val="00AE1A8C"/>
    <w:rsid w:val="00AE1CE4"/>
    <w:rsid w:val="00AE54C5"/>
    <w:rsid w:val="00AE6F86"/>
    <w:rsid w:val="00AF10CE"/>
    <w:rsid w:val="00AF180F"/>
    <w:rsid w:val="00AF68A2"/>
    <w:rsid w:val="00AF6DEB"/>
    <w:rsid w:val="00AF7720"/>
    <w:rsid w:val="00B01326"/>
    <w:rsid w:val="00B02B9C"/>
    <w:rsid w:val="00B03481"/>
    <w:rsid w:val="00B03C5C"/>
    <w:rsid w:val="00B03E13"/>
    <w:rsid w:val="00B044EA"/>
    <w:rsid w:val="00B056FF"/>
    <w:rsid w:val="00B06220"/>
    <w:rsid w:val="00B0696E"/>
    <w:rsid w:val="00B07CA2"/>
    <w:rsid w:val="00B106A4"/>
    <w:rsid w:val="00B12A69"/>
    <w:rsid w:val="00B13E0E"/>
    <w:rsid w:val="00B15E86"/>
    <w:rsid w:val="00B1621D"/>
    <w:rsid w:val="00B168EF"/>
    <w:rsid w:val="00B21636"/>
    <w:rsid w:val="00B21CBF"/>
    <w:rsid w:val="00B22E0A"/>
    <w:rsid w:val="00B23689"/>
    <w:rsid w:val="00B251B0"/>
    <w:rsid w:val="00B26AE2"/>
    <w:rsid w:val="00B26BD1"/>
    <w:rsid w:val="00B26F29"/>
    <w:rsid w:val="00B2738F"/>
    <w:rsid w:val="00B302EE"/>
    <w:rsid w:val="00B34311"/>
    <w:rsid w:val="00B35619"/>
    <w:rsid w:val="00B36E0D"/>
    <w:rsid w:val="00B37294"/>
    <w:rsid w:val="00B40419"/>
    <w:rsid w:val="00B40A25"/>
    <w:rsid w:val="00B40F32"/>
    <w:rsid w:val="00B42DCB"/>
    <w:rsid w:val="00B43047"/>
    <w:rsid w:val="00B450F7"/>
    <w:rsid w:val="00B45B46"/>
    <w:rsid w:val="00B463A2"/>
    <w:rsid w:val="00B4732F"/>
    <w:rsid w:val="00B47950"/>
    <w:rsid w:val="00B506A7"/>
    <w:rsid w:val="00B51312"/>
    <w:rsid w:val="00B522C5"/>
    <w:rsid w:val="00B52ABF"/>
    <w:rsid w:val="00B52B9B"/>
    <w:rsid w:val="00B5429E"/>
    <w:rsid w:val="00B54534"/>
    <w:rsid w:val="00B54E60"/>
    <w:rsid w:val="00B55F32"/>
    <w:rsid w:val="00B60FF6"/>
    <w:rsid w:val="00B6266C"/>
    <w:rsid w:val="00B62B56"/>
    <w:rsid w:val="00B634A3"/>
    <w:rsid w:val="00B63AA6"/>
    <w:rsid w:val="00B6550E"/>
    <w:rsid w:val="00B666D4"/>
    <w:rsid w:val="00B667BF"/>
    <w:rsid w:val="00B66C36"/>
    <w:rsid w:val="00B66E71"/>
    <w:rsid w:val="00B67132"/>
    <w:rsid w:val="00B6762B"/>
    <w:rsid w:val="00B67ED1"/>
    <w:rsid w:val="00B719A9"/>
    <w:rsid w:val="00B73920"/>
    <w:rsid w:val="00B73C1D"/>
    <w:rsid w:val="00B73CC6"/>
    <w:rsid w:val="00B73F77"/>
    <w:rsid w:val="00B741A3"/>
    <w:rsid w:val="00B75871"/>
    <w:rsid w:val="00B759A4"/>
    <w:rsid w:val="00B7640B"/>
    <w:rsid w:val="00B7680B"/>
    <w:rsid w:val="00B769D2"/>
    <w:rsid w:val="00B775C7"/>
    <w:rsid w:val="00B77D96"/>
    <w:rsid w:val="00B77E0B"/>
    <w:rsid w:val="00B8056C"/>
    <w:rsid w:val="00B8056E"/>
    <w:rsid w:val="00B82343"/>
    <w:rsid w:val="00B84B5D"/>
    <w:rsid w:val="00B84D6D"/>
    <w:rsid w:val="00B84EC9"/>
    <w:rsid w:val="00B850ED"/>
    <w:rsid w:val="00B90EDA"/>
    <w:rsid w:val="00B92238"/>
    <w:rsid w:val="00B9311C"/>
    <w:rsid w:val="00B934DE"/>
    <w:rsid w:val="00B93F64"/>
    <w:rsid w:val="00B9435B"/>
    <w:rsid w:val="00B95E0A"/>
    <w:rsid w:val="00B96654"/>
    <w:rsid w:val="00BA10AE"/>
    <w:rsid w:val="00BA1871"/>
    <w:rsid w:val="00BA1DE0"/>
    <w:rsid w:val="00BA289B"/>
    <w:rsid w:val="00BA550B"/>
    <w:rsid w:val="00BA55E4"/>
    <w:rsid w:val="00BA5C61"/>
    <w:rsid w:val="00BA615C"/>
    <w:rsid w:val="00BA61B0"/>
    <w:rsid w:val="00BA63D5"/>
    <w:rsid w:val="00BA732C"/>
    <w:rsid w:val="00BB0432"/>
    <w:rsid w:val="00BB0756"/>
    <w:rsid w:val="00BB2613"/>
    <w:rsid w:val="00BB2D61"/>
    <w:rsid w:val="00BB2D69"/>
    <w:rsid w:val="00BB322E"/>
    <w:rsid w:val="00BB542E"/>
    <w:rsid w:val="00BB54ED"/>
    <w:rsid w:val="00BB7EA7"/>
    <w:rsid w:val="00BC06F8"/>
    <w:rsid w:val="00BC095C"/>
    <w:rsid w:val="00BC2B29"/>
    <w:rsid w:val="00BC3FDA"/>
    <w:rsid w:val="00BC4EBE"/>
    <w:rsid w:val="00BC5C8A"/>
    <w:rsid w:val="00BC6144"/>
    <w:rsid w:val="00BC717D"/>
    <w:rsid w:val="00BC7582"/>
    <w:rsid w:val="00BC7DA1"/>
    <w:rsid w:val="00BC7F92"/>
    <w:rsid w:val="00BD03A2"/>
    <w:rsid w:val="00BD0A8C"/>
    <w:rsid w:val="00BD0B62"/>
    <w:rsid w:val="00BD1BFD"/>
    <w:rsid w:val="00BD62EE"/>
    <w:rsid w:val="00BD76D5"/>
    <w:rsid w:val="00BD7ABA"/>
    <w:rsid w:val="00BE1175"/>
    <w:rsid w:val="00BE1836"/>
    <w:rsid w:val="00BE1B6C"/>
    <w:rsid w:val="00BE33BB"/>
    <w:rsid w:val="00BE5B7C"/>
    <w:rsid w:val="00BE75E0"/>
    <w:rsid w:val="00BF074A"/>
    <w:rsid w:val="00BF2ABE"/>
    <w:rsid w:val="00BF2CE0"/>
    <w:rsid w:val="00BF2EA7"/>
    <w:rsid w:val="00BF3EB9"/>
    <w:rsid w:val="00BF7671"/>
    <w:rsid w:val="00C006F8"/>
    <w:rsid w:val="00C007F1"/>
    <w:rsid w:val="00C01651"/>
    <w:rsid w:val="00C02194"/>
    <w:rsid w:val="00C027DE"/>
    <w:rsid w:val="00C02EEF"/>
    <w:rsid w:val="00C030C8"/>
    <w:rsid w:val="00C03434"/>
    <w:rsid w:val="00C05AF3"/>
    <w:rsid w:val="00C068E9"/>
    <w:rsid w:val="00C106B1"/>
    <w:rsid w:val="00C112CF"/>
    <w:rsid w:val="00C12471"/>
    <w:rsid w:val="00C13418"/>
    <w:rsid w:val="00C13B3C"/>
    <w:rsid w:val="00C14C7C"/>
    <w:rsid w:val="00C16C6E"/>
    <w:rsid w:val="00C179FD"/>
    <w:rsid w:val="00C23CBA"/>
    <w:rsid w:val="00C23D2B"/>
    <w:rsid w:val="00C2417D"/>
    <w:rsid w:val="00C24E53"/>
    <w:rsid w:val="00C25F2D"/>
    <w:rsid w:val="00C27197"/>
    <w:rsid w:val="00C27934"/>
    <w:rsid w:val="00C30064"/>
    <w:rsid w:val="00C32513"/>
    <w:rsid w:val="00C32D72"/>
    <w:rsid w:val="00C33170"/>
    <w:rsid w:val="00C33AD7"/>
    <w:rsid w:val="00C33F51"/>
    <w:rsid w:val="00C36269"/>
    <w:rsid w:val="00C36330"/>
    <w:rsid w:val="00C379BA"/>
    <w:rsid w:val="00C37A77"/>
    <w:rsid w:val="00C37A88"/>
    <w:rsid w:val="00C40D8A"/>
    <w:rsid w:val="00C412CF"/>
    <w:rsid w:val="00C42079"/>
    <w:rsid w:val="00C42FB1"/>
    <w:rsid w:val="00C4599D"/>
    <w:rsid w:val="00C507DF"/>
    <w:rsid w:val="00C509E0"/>
    <w:rsid w:val="00C50D47"/>
    <w:rsid w:val="00C5309E"/>
    <w:rsid w:val="00C534CC"/>
    <w:rsid w:val="00C54291"/>
    <w:rsid w:val="00C56E6C"/>
    <w:rsid w:val="00C6144C"/>
    <w:rsid w:val="00C648E2"/>
    <w:rsid w:val="00C6524C"/>
    <w:rsid w:val="00C655D4"/>
    <w:rsid w:val="00C65CAB"/>
    <w:rsid w:val="00C66DB5"/>
    <w:rsid w:val="00C6747A"/>
    <w:rsid w:val="00C67CAA"/>
    <w:rsid w:val="00C70DCC"/>
    <w:rsid w:val="00C7162B"/>
    <w:rsid w:val="00C7198D"/>
    <w:rsid w:val="00C72FAD"/>
    <w:rsid w:val="00C72FE7"/>
    <w:rsid w:val="00C735B3"/>
    <w:rsid w:val="00C74093"/>
    <w:rsid w:val="00C7476D"/>
    <w:rsid w:val="00C76E1A"/>
    <w:rsid w:val="00C8021B"/>
    <w:rsid w:val="00C813E5"/>
    <w:rsid w:val="00C81509"/>
    <w:rsid w:val="00C81B9A"/>
    <w:rsid w:val="00C8267F"/>
    <w:rsid w:val="00C82C67"/>
    <w:rsid w:val="00C843C7"/>
    <w:rsid w:val="00C846AF"/>
    <w:rsid w:val="00C855D4"/>
    <w:rsid w:val="00C86970"/>
    <w:rsid w:val="00C90AD6"/>
    <w:rsid w:val="00C91380"/>
    <w:rsid w:val="00C925E6"/>
    <w:rsid w:val="00C92B26"/>
    <w:rsid w:val="00C932BA"/>
    <w:rsid w:val="00C94BF3"/>
    <w:rsid w:val="00C95C7B"/>
    <w:rsid w:val="00C966AF"/>
    <w:rsid w:val="00C97FE5"/>
    <w:rsid w:val="00CA02A7"/>
    <w:rsid w:val="00CA2E91"/>
    <w:rsid w:val="00CA3C98"/>
    <w:rsid w:val="00CA5D34"/>
    <w:rsid w:val="00CA60F9"/>
    <w:rsid w:val="00CA72BA"/>
    <w:rsid w:val="00CA7510"/>
    <w:rsid w:val="00CA7E9C"/>
    <w:rsid w:val="00CB147F"/>
    <w:rsid w:val="00CB1968"/>
    <w:rsid w:val="00CB1CDA"/>
    <w:rsid w:val="00CB5B9C"/>
    <w:rsid w:val="00CB5BE1"/>
    <w:rsid w:val="00CB5C4D"/>
    <w:rsid w:val="00CB64F9"/>
    <w:rsid w:val="00CB7660"/>
    <w:rsid w:val="00CC035F"/>
    <w:rsid w:val="00CC1A62"/>
    <w:rsid w:val="00CC2123"/>
    <w:rsid w:val="00CC253E"/>
    <w:rsid w:val="00CC3C2B"/>
    <w:rsid w:val="00CC3D06"/>
    <w:rsid w:val="00CC6B34"/>
    <w:rsid w:val="00CC7863"/>
    <w:rsid w:val="00CD245C"/>
    <w:rsid w:val="00CD2985"/>
    <w:rsid w:val="00CD3B74"/>
    <w:rsid w:val="00CD42D9"/>
    <w:rsid w:val="00CD495F"/>
    <w:rsid w:val="00CD672C"/>
    <w:rsid w:val="00CE01C1"/>
    <w:rsid w:val="00CE178C"/>
    <w:rsid w:val="00CE17F8"/>
    <w:rsid w:val="00CE1F10"/>
    <w:rsid w:val="00CE503F"/>
    <w:rsid w:val="00CE50C0"/>
    <w:rsid w:val="00CE61A4"/>
    <w:rsid w:val="00CE654A"/>
    <w:rsid w:val="00CE70EF"/>
    <w:rsid w:val="00CE751C"/>
    <w:rsid w:val="00CF075F"/>
    <w:rsid w:val="00CF10CB"/>
    <w:rsid w:val="00CF1156"/>
    <w:rsid w:val="00CF1537"/>
    <w:rsid w:val="00CF23A1"/>
    <w:rsid w:val="00CF2E21"/>
    <w:rsid w:val="00CF353E"/>
    <w:rsid w:val="00CF3ED5"/>
    <w:rsid w:val="00CF4936"/>
    <w:rsid w:val="00CF49F2"/>
    <w:rsid w:val="00CF6AA0"/>
    <w:rsid w:val="00CF7369"/>
    <w:rsid w:val="00D012F9"/>
    <w:rsid w:val="00D0197C"/>
    <w:rsid w:val="00D01B8B"/>
    <w:rsid w:val="00D02A91"/>
    <w:rsid w:val="00D037D7"/>
    <w:rsid w:val="00D03972"/>
    <w:rsid w:val="00D06BF2"/>
    <w:rsid w:val="00D0754E"/>
    <w:rsid w:val="00D07779"/>
    <w:rsid w:val="00D07E5D"/>
    <w:rsid w:val="00D10D6E"/>
    <w:rsid w:val="00D10F2C"/>
    <w:rsid w:val="00D11255"/>
    <w:rsid w:val="00D12993"/>
    <w:rsid w:val="00D1341F"/>
    <w:rsid w:val="00D13670"/>
    <w:rsid w:val="00D13D04"/>
    <w:rsid w:val="00D14C9C"/>
    <w:rsid w:val="00D16D17"/>
    <w:rsid w:val="00D179DE"/>
    <w:rsid w:val="00D17E3E"/>
    <w:rsid w:val="00D2205C"/>
    <w:rsid w:val="00D2243A"/>
    <w:rsid w:val="00D22B21"/>
    <w:rsid w:val="00D22CA5"/>
    <w:rsid w:val="00D2305D"/>
    <w:rsid w:val="00D239AE"/>
    <w:rsid w:val="00D25292"/>
    <w:rsid w:val="00D266B1"/>
    <w:rsid w:val="00D31588"/>
    <w:rsid w:val="00D31F82"/>
    <w:rsid w:val="00D32D51"/>
    <w:rsid w:val="00D370AB"/>
    <w:rsid w:val="00D379F7"/>
    <w:rsid w:val="00D37DE9"/>
    <w:rsid w:val="00D4010F"/>
    <w:rsid w:val="00D40C2B"/>
    <w:rsid w:val="00D40F94"/>
    <w:rsid w:val="00D41343"/>
    <w:rsid w:val="00D417EC"/>
    <w:rsid w:val="00D423D0"/>
    <w:rsid w:val="00D4305B"/>
    <w:rsid w:val="00D43B25"/>
    <w:rsid w:val="00D44597"/>
    <w:rsid w:val="00D44A39"/>
    <w:rsid w:val="00D4531F"/>
    <w:rsid w:val="00D458FF"/>
    <w:rsid w:val="00D45B43"/>
    <w:rsid w:val="00D50D5D"/>
    <w:rsid w:val="00D51684"/>
    <w:rsid w:val="00D5264D"/>
    <w:rsid w:val="00D557EC"/>
    <w:rsid w:val="00D55862"/>
    <w:rsid w:val="00D566CF"/>
    <w:rsid w:val="00D5755C"/>
    <w:rsid w:val="00D60071"/>
    <w:rsid w:val="00D6018C"/>
    <w:rsid w:val="00D60639"/>
    <w:rsid w:val="00D610E2"/>
    <w:rsid w:val="00D629AF"/>
    <w:rsid w:val="00D631FE"/>
    <w:rsid w:val="00D63B50"/>
    <w:rsid w:val="00D64961"/>
    <w:rsid w:val="00D672CF"/>
    <w:rsid w:val="00D67A40"/>
    <w:rsid w:val="00D70B06"/>
    <w:rsid w:val="00D71538"/>
    <w:rsid w:val="00D71DDE"/>
    <w:rsid w:val="00D72D7C"/>
    <w:rsid w:val="00D73266"/>
    <w:rsid w:val="00D7453F"/>
    <w:rsid w:val="00D74E59"/>
    <w:rsid w:val="00D80062"/>
    <w:rsid w:val="00D80DD8"/>
    <w:rsid w:val="00D81DCB"/>
    <w:rsid w:val="00D82640"/>
    <w:rsid w:val="00D82FBE"/>
    <w:rsid w:val="00D83343"/>
    <w:rsid w:val="00D83B0B"/>
    <w:rsid w:val="00D840FF"/>
    <w:rsid w:val="00D8527F"/>
    <w:rsid w:val="00D85852"/>
    <w:rsid w:val="00D869D8"/>
    <w:rsid w:val="00D87E5A"/>
    <w:rsid w:val="00D90992"/>
    <w:rsid w:val="00D91615"/>
    <w:rsid w:val="00D93C88"/>
    <w:rsid w:val="00D94D17"/>
    <w:rsid w:val="00D97B80"/>
    <w:rsid w:val="00DA00E5"/>
    <w:rsid w:val="00DA0207"/>
    <w:rsid w:val="00DA2E26"/>
    <w:rsid w:val="00DA31C8"/>
    <w:rsid w:val="00DA3F64"/>
    <w:rsid w:val="00DA554A"/>
    <w:rsid w:val="00DA7ECC"/>
    <w:rsid w:val="00DB1077"/>
    <w:rsid w:val="00DB6036"/>
    <w:rsid w:val="00DB6B98"/>
    <w:rsid w:val="00DC0897"/>
    <w:rsid w:val="00DC0952"/>
    <w:rsid w:val="00DC0AF9"/>
    <w:rsid w:val="00DC3DED"/>
    <w:rsid w:val="00DC4A72"/>
    <w:rsid w:val="00DC5461"/>
    <w:rsid w:val="00DC6C08"/>
    <w:rsid w:val="00DC7EF0"/>
    <w:rsid w:val="00DD23FF"/>
    <w:rsid w:val="00DD288D"/>
    <w:rsid w:val="00DD4B6E"/>
    <w:rsid w:val="00DD4EAC"/>
    <w:rsid w:val="00DD5CDA"/>
    <w:rsid w:val="00DD674C"/>
    <w:rsid w:val="00DE0805"/>
    <w:rsid w:val="00DE0A42"/>
    <w:rsid w:val="00DE0BCA"/>
    <w:rsid w:val="00DE13BE"/>
    <w:rsid w:val="00DE145E"/>
    <w:rsid w:val="00DE26D1"/>
    <w:rsid w:val="00DE4AB1"/>
    <w:rsid w:val="00DE6105"/>
    <w:rsid w:val="00DE75B7"/>
    <w:rsid w:val="00DF01B5"/>
    <w:rsid w:val="00DF02B3"/>
    <w:rsid w:val="00DF074B"/>
    <w:rsid w:val="00DF10FA"/>
    <w:rsid w:val="00DF1A9E"/>
    <w:rsid w:val="00DF262A"/>
    <w:rsid w:val="00DF2EEE"/>
    <w:rsid w:val="00DF3D29"/>
    <w:rsid w:val="00DF4FB9"/>
    <w:rsid w:val="00DF58D4"/>
    <w:rsid w:val="00DF60C9"/>
    <w:rsid w:val="00DF6966"/>
    <w:rsid w:val="00DF719B"/>
    <w:rsid w:val="00E001A4"/>
    <w:rsid w:val="00E00BAC"/>
    <w:rsid w:val="00E023B7"/>
    <w:rsid w:val="00E027FC"/>
    <w:rsid w:val="00E02CE3"/>
    <w:rsid w:val="00E02D41"/>
    <w:rsid w:val="00E04230"/>
    <w:rsid w:val="00E044E6"/>
    <w:rsid w:val="00E04A47"/>
    <w:rsid w:val="00E05963"/>
    <w:rsid w:val="00E05BD9"/>
    <w:rsid w:val="00E0610F"/>
    <w:rsid w:val="00E0639E"/>
    <w:rsid w:val="00E06E18"/>
    <w:rsid w:val="00E07640"/>
    <w:rsid w:val="00E103C9"/>
    <w:rsid w:val="00E1074D"/>
    <w:rsid w:val="00E12460"/>
    <w:rsid w:val="00E12E33"/>
    <w:rsid w:val="00E13022"/>
    <w:rsid w:val="00E14606"/>
    <w:rsid w:val="00E14E2D"/>
    <w:rsid w:val="00E156AB"/>
    <w:rsid w:val="00E1627B"/>
    <w:rsid w:val="00E16394"/>
    <w:rsid w:val="00E2113E"/>
    <w:rsid w:val="00E218E6"/>
    <w:rsid w:val="00E21A91"/>
    <w:rsid w:val="00E21E74"/>
    <w:rsid w:val="00E2452C"/>
    <w:rsid w:val="00E24755"/>
    <w:rsid w:val="00E25CAE"/>
    <w:rsid w:val="00E25F06"/>
    <w:rsid w:val="00E25FAB"/>
    <w:rsid w:val="00E2664D"/>
    <w:rsid w:val="00E26FA9"/>
    <w:rsid w:val="00E2734D"/>
    <w:rsid w:val="00E274C4"/>
    <w:rsid w:val="00E2753E"/>
    <w:rsid w:val="00E27DBD"/>
    <w:rsid w:val="00E27E1A"/>
    <w:rsid w:val="00E303D9"/>
    <w:rsid w:val="00E30A97"/>
    <w:rsid w:val="00E31835"/>
    <w:rsid w:val="00E3192E"/>
    <w:rsid w:val="00E32C9B"/>
    <w:rsid w:val="00E3449C"/>
    <w:rsid w:val="00E34724"/>
    <w:rsid w:val="00E35247"/>
    <w:rsid w:val="00E35371"/>
    <w:rsid w:val="00E35710"/>
    <w:rsid w:val="00E3619A"/>
    <w:rsid w:val="00E36A9D"/>
    <w:rsid w:val="00E3720D"/>
    <w:rsid w:val="00E37665"/>
    <w:rsid w:val="00E42284"/>
    <w:rsid w:val="00E43649"/>
    <w:rsid w:val="00E4389C"/>
    <w:rsid w:val="00E43A51"/>
    <w:rsid w:val="00E43E43"/>
    <w:rsid w:val="00E44C4F"/>
    <w:rsid w:val="00E44E56"/>
    <w:rsid w:val="00E45C84"/>
    <w:rsid w:val="00E46003"/>
    <w:rsid w:val="00E50583"/>
    <w:rsid w:val="00E50614"/>
    <w:rsid w:val="00E511A5"/>
    <w:rsid w:val="00E51F99"/>
    <w:rsid w:val="00E52178"/>
    <w:rsid w:val="00E5300D"/>
    <w:rsid w:val="00E53B02"/>
    <w:rsid w:val="00E53E53"/>
    <w:rsid w:val="00E54DE4"/>
    <w:rsid w:val="00E55109"/>
    <w:rsid w:val="00E55192"/>
    <w:rsid w:val="00E56949"/>
    <w:rsid w:val="00E56DCC"/>
    <w:rsid w:val="00E571AC"/>
    <w:rsid w:val="00E61F46"/>
    <w:rsid w:val="00E62103"/>
    <w:rsid w:val="00E62B2C"/>
    <w:rsid w:val="00E63476"/>
    <w:rsid w:val="00E63998"/>
    <w:rsid w:val="00E651A5"/>
    <w:rsid w:val="00E70590"/>
    <w:rsid w:val="00E7143D"/>
    <w:rsid w:val="00E72096"/>
    <w:rsid w:val="00E72FF8"/>
    <w:rsid w:val="00E7444F"/>
    <w:rsid w:val="00E76075"/>
    <w:rsid w:val="00E76B29"/>
    <w:rsid w:val="00E77909"/>
    <w:rsid w:val="00E80168"/>
    <w:rsid w:val="00E815D4"/>
    <w:rsid w:val="00E81BF5"/>
    <w:rsid w:val="00E82199"/>
    <w:rsid w:val="00E82EC6"/>
    <w:rsid w:val="00E8345B"/>
    <w:rsid w:val="00E83A1E"/>
    <w:rsid w:val="00E83E24"/>
    <w:rsid w:val="00E8430A"/>
    <w:rsid w:val="00E84CD1"/>
    <w:rsid w:val="00E858B6"/>
    <w:rsid w:val="00E87EEC"/>
    <w:rsid w:val="00E90F14"/>
    <w:rsid w:val="00E917FD"/>
    <w:rsid w:val="00E91FB2"/>
    <w:rsid w:val="00E92455"/>
    <w:rsid w:val="00E92B6B"/>
    <w:rsid w:val="00E93527"/>
    <w:rsid w:val="00E936B2"/>
    <w:rsid w:val="00E964EC"/>
    <w:rsid w:val="00E9674A"/>
    <w:rsid w:val="00E96BDF"/>
    <w:rsid w:val="00E96C21"/>
    <w:rsid w:val="00E975E6"/>
    <w:rsid w:val="00EA1022"/>
    <w:rsid w:val="00EA2B52"/>
    <w:rsid w:val="00EA2F7B"/>
    <w:rsid w:val="00EA3F21"/>
    <w:rsid w:val="00EA449E"/>
    <w:rsid w:val="00EA521B"/>
    <w:rsid w:val="00EA5445"/>
    <w:rsid w:val="00EA5A23"/>
    <w:rsid w:val="00EB2214"/>
    <w:rsid w:val="00EB2263"/>
    <w:rsid w:val="00EB45CF"/>
    <w:rsid w:val="00EB5C79"/>
    <w:rsid w:val="00EB7F04"/>
    <w:rsid w:val="00EC1B8C"/>
    <w:rsid w:val="00EC21FC"/>
    <w:rsid w:val="00EC2BE5"/>
    <w:rsid w:val="00EC4A8C"/>
    <w:rsid w:val="00EC575D"/>
    <w:rsid w:val="00EC71A6"/>
    <w:rsid w:val="00ED2787"/>
    <w:rsid w:val="00ED618F"/>
    <w:rsid w:val="00ED7255"/>
    <w:rsid w:val="00EE066A"/>
    <w:rsid w:val="00EE0FB8"/>
    <w:rsid w:val="00EE267D"/>
    <w:rsid w:val="00EE3681"/>
    <w:rsid w:val="00EE3C61"/>
    <w:rsid w:val="00EE49A5"/>
    <w:rsid w:val="00EE4CF3"/>
    <w:rsid w:val="00EE63D6"/>
    <w:rsid w:val="00EE78DC"/>
    <w:rsid w:val="00EE7938"/>
    <w:rsid w:val="00EF0AD6"/>
    <w:rsid w:val="00EF169B"/>
    <w:rsid w:val="00EF1CB1"/>
    <w:rsid w:val="00EF4429"/>
    <w:rsid w:val="00EF4E9D"/>
    <w:rsid w:val="00EF4EC2"/>
    <w:rsid w:val="00EF648D"/>
    <w:rsid w:val="00EF69C5"/>
    <w:rsid w:val="00F001E0"/>
    <w:rsid w:val="00F00B25"/>
    <w:rsid w:val="00F00D7B"/>
    <w:rsid w:val="00F0330A"/>
    <w:rsid w:val="00F03822"/>
    <w:rsid w:val="00F04330"/>
    <w:rsid w:val="00F0487D"/>
    <w:rsid w:val="00F0532D"/>
    <w:rsid w:val="00F055C5"/>
    <w:rsid w:val="00F0603F"/>
    <w:rsid w:val="00F0698A"/>
    <w:rsid w:val="00F06D41"/>
    <w:rsid w:val="00F0709D"/>
    <w:rsid w:val="00F10AA5"/>
    <w:rsid w:val="00F110C7"/>
    <w:rsid w:val="00F11123"/>
    <w:rsid w:val="00F1131A"/>
    <w:rsid w:val="00F1202C"/>
    <w:rsid w:val="00F16B6A"/>
    <w:rsid w:val="00F1743E"/>
    <w:rsid w:val="00F17C24"/>
    <w:rsid w:val="00F17D4C"/>
    <w:rsid w:val="00F20D06"/>
    <w:rsid w:val="00F20DE7"/>
    <w:rsid w:val="00F20FD5"/>
    <w:rsid w:val="00F2162B"/>
    <w:rsid w:val="00F2333E"/>
    <w:rsid w:val="00F24606"/>
    <w:rsid w:val="00F2464B"/>
    <w:rsid w:val="00F2511F"/>
    <w:rsid w:val="00F25590"/>
    <w:rsid w:val="00F25CFF"/>
    <w:rsid w:val="00F25E4A"/>
    <w:rsid w:val="00F26E8D"/>
    <w:rsid w:val="00F3084A"/>
    <w:rsid w:val="00F31212"/>
    <w:rsid w:val="00F3388B"/>
    <w:rsid w:val="00F340F6"/>
    <w:rsid w:val="00F3410C"/>
    <w:rsid w:val="00F34C5D"/>
    <w:rsid w:val="00F36226"/>
    <w:rsid w:val="00F37423"/>
    <w:rsid w:val="00F3750C"/>
    <w:rsid w:val="00F41690"/>
    <w:rsid w:val="00F4415C"/>
    <w:rsid w:val="00F44555"/>
    <w:rsid w:val="00F45209"/>
    <w:rsid w:val="00F45658"/>
    <w:rsid w:val="00F463CA"/>
    <w:rsid w:val="00F46986"/>
    <w:rsid w:val="00F46B33"/>
    <w:rsid w:val="00F47D20"/>
    <w:rsid w:val="00F50C96"/>
    <w:rsid w:val="00F510CD"/>
    <w:rsid w:val="00F523A6"/>
    <w:rsid w:val="00F533E7"/>
    <w:rsid w:val="00F54DF3"/>
    <w:rsid w:val="00F55077"/>
    <w:rsid w:val="00F607F3"/>
    <w:rsid w:val="00F60D95"/>
    <w:rsid w:val="00F61250"/>
    <w:rsid w:val="00F62339"/>
    <w:rsid w:val="00F63565"/>
    <w:rsid w:val="00F635CB"/>
    <w:rsid w:val="00F649A5"/>
    <w:rsid w:val="00F67984"/>
    <w:rsid w:val="00F67B07"/>
    <w:rsid w:val="00F71647"/>
    <w:rsid w:val="00F7283D"/>
    <w:rsid w:val="00F72D01"/>
    <w:rsid w:val="00F7432F"/>
    <w:rsid w:val="00F74CAC"/>
    <w:rsid w:val="00F75E6F"/>
    <w:rsid w:val="00F77924"/>
    <w:rsid w:val="00F8026D"/>
    <w:rsid w:val="00F8039B"/>
    <w:rsid w:val="00F80CED"/>
    <w:rsid w:val="00F80F17"/>
    <w:rsid w:val="00F836F0"/>
    <w:rsid w:val="00F8398E"/>
    <w:rsid w:val="00F851B8"/>
    <w:rsid w:val="00F86248"/>
    <w:rsid w:val="00F8648A"/>
    <w:rsid w:val="00F8728D"/>
    <w:rsid w:val="00F87B5A"/>
    <w:rsid w:val="00F9170D"/>
    <w:rsid w:val="00F918C2"/>
    <w:rsid w:val="00F92800"/>
    <w:rsid w:val="00F93E60"/>
    <w:rsid w:val="00F940F8"/>
    <w:rsid w:val="00F95768"/>
    <w:rsid w:val="00FA1221"/>
    <w:rsid w:val="00FA1294"/>
    <w:rsid w:val="00FA15DD"/>
    <w:rsid w:val="00FA25EF"/>
    <w:rsid w:val="00FA45A1"/>
    <w:rsid w:val="00FA468D"/>
    <w:rsid w:val="00FA60E0"/>
    <w:rsid w:val="00FA7EC3"/>
    <w:rsid w:val="00FB1074"/>
    <w:rsid w:val="00FB10FF"/>
    <w:rsid w:val="00FB1DB8"/>
    <w:rsid w:val="00FB31CA"/>
    <w:rsid w:val="00FB4BED"/>
    <w:rsid w:val="00FC0D80"/>
    <w:rsid w:val="00FC22DC"/>
    <w:rsid w:val="00FC4E24"/>
    <w:rsid w:val="00FC71AE"/>
    <w:rsid w:val="00FD016A"/>
    <w:rsid w:val="00FD0871"/>
    <w:rsid w:val="00FD0A0B"/>
    <w:rsid w:val="00FD0FD4"/>
    <w:rsid w:val="00FD162C"/>
    <w:rsid w:val="00FD24B4"/>
    <w:rsid w:val="00FD3C72"/>
    <w:rsid w:val="00FD3E8D"/>
    <w:rsid w:val="00FD4728"/>
    <w:rsid w:val="00FD5074"/>
    <w:rsid w:val="00FD615B"/>
    <w:rsid w:val="00FE0998"/>
    <w:rsid w:val="00FE1092"/>
    <w:rsid w:val="00FE35DE"/>
    <w:rsid w:val="00FE3858"/>
    <w:rsid w:val="00FE3E45"/>
    <w:rsid w:val="00FE56E4"/>
    <w:rsid w:val="00FE76D6"/>
    <w:rsid w:val="00FF6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D91C46F"/>
  <w15:docId w15:val="{24EFC963-E999-450B-B170-62DA8893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C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41E"/>
    <w:pPr>
      <w:tabs>
        <w:tab w:val="center" w:pos="4153"/>
        <w:tab w:val="right" w:pos="8306"/>
      </w:tabs>
      <w:snapToGrid w:val="0"/>
    </w:pPr>
    <w:rPr>
      <w:sz w:val="20"/>
      <w:szCs w:val="20"/>
    </w:rPr>
  </w:style>
  <w:style w:type="character" w:customStyle="1" w:styleId="a4">
    <w:name w:val="頁首 字元"/>
    <w:basedOn w:val="a0"/>
    <w:link w:val="a3"/>
    <w:uiPriority w:val="99"/>
    <w:rsid w:val="0051441E"/>
    <w:rPr>
      <w:sz w:val="20"/>
      <w:szCs w:val="20"/>
    </w:rPr>
  </w:style>
  <w:style w:type="paragraph" w:styleId="a5">
    <w:name w:val="footer"/>
    <w:basedOn w:val="a"/>
    <w:link w:val="a6"/>
    <w:uiPriority w:val="99"/>
    <w:unhideWhenUsed/>
    <w:rsid w:val="0051441E"/>
    <w:pPr>
      <w:tabs>
        <w:tab w:val="center" w:pos="4153"/>
        <w:tab w:val="right" w:pos="8306"/>
      </w:tabs>
      <w:snapToGrid w:val="0"/>
    </w:pPr>
    <w:rPr>
      <w:sz w:val="20"/>
      <w:szCs w:val="20"/>
    </w:rPr>
  </w:style>
  <w:style w:type="character" w:customStyle="1" w:styleId="a6">
    <w:name w:val="頁尾 字元"/>
    <w:basedOn w:val="a0"/>
    <w:link w:val="a5"/>
    <w:uiPriority w:val="99"/>
    <w:rsid w:val="0051441E"/>
    <w:rPr>
      <w:sz w:val="20"/>
      <w:szCs w:val="20"/>
    </w:rPr>
  </w:style>
  <w:style w:type="table" w:styleId="a7">
    <w:name w:val="Table Grid"/>
    <w:basedOn w:val="a1"/>
    <w:uiPriority w:val="39"/>
    <w:rsid w:val="00F1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3022"/>
    <w:pPr>
      <w:ind w:leftChars="200" w:left="480"/>
    </w:pPr>
  </w:style>
  <w:style w:type="character" w:styleId="a9">
    <w:name w:val="Placeholder Text"/>
    <w:basedOn w:val="a0"/>
    <w:uiPriority w:val="99"/>
    <w:semiHidden/>
    <w:rsid w:val="00491B42"/>
    <w:rPr>
      <w:color w:val="808080"/>
    </w:rPr>
  </w:style>
  <w:style w:type="paragraph" w:styleId="aa">
    <w:name w:val="Balloon Text"/>
    <w:basedOn w:val="a"/>
    <w:link w:val="ab"/>
    <w:uiPriority w:val="99"/>
    <w:semiHidden/>
    <w:unhideWhenUsed/>
    <w:rsid w:val="00491B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1B42"/>
    <w:rPr>
      <w:rFonts w:asciiTheme="majorHAnsi" w:eastAsiaTheme="majorEastAsia" w:hAnsiTheme="majorHAnsi" w:cstheme="majorBidi"/>
      <w:sz w:val="18"/>
      <w:szCs w:val="18"/>
    </w:rPr>
  </w:style>
  <w:style w:type="paragraph" w:customStyle="1" w:styleId="Char">
    <w:name w:val="字元 字元 Char"/>
    <w:basedOn w:val="a"/>
    <w:rsid w:val="00A240B0"/>
    <w:pPr>
      <w:widowControl/>
      <w:spacing w:after="160" w:line="240" w:lineRule="exact"/>
    </w:pPr>
    <w:rPr>
      <w:rFonts w:ascii="Arial" w:eastAsia="Times New Roman" w:hAnsi="Arial" w:cs="Arial"/>
      <w:kern w:val="0"/>
      <w:sz w:val="20"/>
      <w:szCs w:val="20"/>
      <w:lang w:eastAsia="en-US"/>
    </w:rPr>
  </w:style>
  <w:style w:type="character" w:styleId="ac">
    <w:name w:val="Hyperlink"/>
    <w:basedOn w:val="a0"/>
    <w:uiPriority w:val="99"/>
    <w:unhideWhenUsed/>
    <w:rsid w:val="00987AD1"/>
    <w:rPr>
      <w:strike w:val="0"/>
      <w:dstrike w:val="0"/>
      <w:color w:val="003B7E"/>
      <w:u w:val="none"/>
      <w:effect w:val="none"/>
    </w:rPr>
  </w:style>
  <w:style w:type="paragraph" w:styleId="2">
    <w:name w:val="Body Text Indent 2"/>
    <w:basedOn w:val="a"/>
    <w:link w:val="20"/>
    <w:rsid w:val="0020043E"/>
    <w:pPr>
      <w:ind w:firstLineChars="200" w:firstLine="480"/>
      <w:jc w:val="both"/>
    </w:pPr>
    <w:rPr>
      <w:rFonts w:ascii="標楷體" w:eastAsia="標楷體" w:hAnsi="標楷體" w:cs="Times New Roman"/>
      <w:color w:val="000000"/>
      <w:szCs w:val="24"/>
    </w:rPr>
  </w:style>
  <w:style w:type="character" w:customStyle="1" w:styleId="20">
    <w:name w:val="本文縮排 2 字元"/>
    <w:basedOn w:val="a0"/>
    <w:link w:val="2"/>
    <w:rsid w:val="0020043E"/>
    <w:rPr>
      <w:rFonts w:ascii="標楷體" w:eastAsia="標楷體" w:hAnsi="標楷體" w:cs="Times New Roman"/>
      <w:color w:val="000000"/>
      <w:szCs w:val="24"/>
    </w:rPr>
  </w:style>
  <w:style w:type="character" w:styleId="ad">
    <w:name w:val="annotation reference"/>
    <w:basedOn w:val="a0"/>
    <w:uiPriority w:val="99"/>
    <w:semiHidden/>
    <w:unhideWhenUsed/>
    <w:rsid w:val="005410FD"/>
    <w:rPr>
      <w:sz w:val="18"/>
      <w:szCs w:val="18"/>
    </w:rPr>
  </w:style>
  <w:style w:type="paragraph" w:styleId="ae">
    <w:name w:val="annotation text"/>
    <w:basedOn w:val="a"/>
    <w:link w:val="af"/>
    <w:uiPriority w:val="99"/>
    <w:unhideWhenUsed/>
    <w:rsid w:val="005410FD"/>
  </w:style>
  <w:style w:type="character" w:customStyle="1" w:styleId="af">
    <w:name w:val="註解文字 字元"/>
    <w:basedOn w:val="a0"/>
    <w:link w:val="ae"/>
    <w:uiPriority w:val="99"/>
    <w:rsid w:val="005410FD"/>
  </w:style>
  <w:style w:type="paragraph" w:styleId="af0">
    <w:name w:val="annotation subject"/>
    <w:basedOn w:val="ae"/>
    <w:next w:val="ae"/>
    <w:link w:val="af1"/>
    <w:uiPriority w:val="99"/>
    <w:semiHidden/>
    <w:unhideWhenUsed/>
    <w:rsid w:val="005410FD"/>
    <w:rPr>
      <w:b/>
      <w:bCs/>
    </w:rPr>
  </w:style>
  <w:style w:type="character" w:customStyle="1" w:styleId="af1">
    <w:name w:val="註解主旨 字元"/>
    <w:basedOn w:val="af"/>
    <w:link w:val="af0"/>
    <w:uiPriority w:val="99"/>
    <w:semiHidden/>
    <w:rsid w:val="005410FD"/>
    <w:rPr>
      <w:b/>
      <w:bCs/>
    </w:rPr>
  </w:style>
  <w:style w:type="paragraph" w:styleId="Web">
    <w:name w:val="Normal (Web)"/>
    <w:basedOn w:val="a"/>
    <w:rsid w:val="00AC4CAC"/>
    <w:pPr>
      <w:widowControl/>
      <w:spacing w:before="100" w:beforeAutospacing="1" w:after="100" w:afterAutospacing="1"/>
    </w:pPr>
    <w:rPr>
      <w:rFonts w:ascii="新細明體" w:eastAsia="新細明體" w:hAnsi="新細明體" w:cs="Times New Roman"/>
      <w:kern w:val="0"/>
      <w:szCs w:val="24"/>
    </w:rPr>
  </w:style>
  <w:style w:type="paragraph" w:customStyle="1" w:styleId="Default">
    <w:name w:val="Default"/>
    <w:rsid w:val="00C76E1A"/>
    <w:pPr>
      <w:widowControl w:val="0"/>
      <w:autoSpaceDE w:val="0"/>
      <w:autoSpaceDN w:val="0"/>
      <w:adjustRightInd w:val="0"/>
    </w:pPr>
    <w:rPr>
      <w:rFonts w:ascii="標楷體" w:eastAsia="標楷體" w:cs="標楷體"/>
      <w:color w:val="000000"/>
      <w:kern w:val="0"/>
      <w:szCs w:val="24"/>
    </w:rPr>
  </w:style>
  <w:style w:type="paragraph" w:styleId="af2">
    <w:name w:val="Body Text"/>
    <w:basedOn w:val="a"/>
    <w:link w:val="af3"/>
    <w:uiPriority w:val="1"/>
    <w:unhideWhenUsed/>
    <w:qFormat/>
    <w:rsid w:val="00100044"/>
    <w:pPr>
      <w:spacing w:after="120"/>
    </w:pPr>
  </w:style>
  <w:style w:type="character" w:customStyle="1" w:styleId="af3">
    <w:name w:val="本文 字元"/>
    <w:basedOn w:val="a0"/>
    <w:link w:val="af2"/>
    <w:uiPriority w:val="99"/>
    <w:semiHidden/>
    <w:rsid w:val="00100044"/>
  </w:style>
  <w:style w:type="paragraph" w:customStyle="1" w:styleId="TableParagraph">
    <w:name w:val="Table Paragraph"/>
    <w:basedOn w:val="a"/>
    <w:uiPriority w:val="1"/>
    <w:qFormat/>
    <w:rsid w:val="00100044"/>
    <w:rPr>
      <w:kern w:val="0"/>
      <w:sz w:val="22"/>
      <w:lang w:eastAsia="en-US"/>
    </w:rPr>
  </w:style>
  <w:style w:type="table" w:customStyle="1" w:styleId="TableNormal">
    <w:name w:val="Table Normal"/>
    <w:uiPriority w:val="2"/>
    <w:semiHidden/>
    <w:unhideWhenUsed/>
    <w:qFormat/>
    <w:rsid w:val="009A231F"/>
    <w:pPr>
      <w:widowControl w:val="0"/>
    </w:pPr>
    <w:rPr>
      <w:kern w:val="0"/>
      <w:sz w:val="22"/>
      <w:lang w:eastAsia="en-US"/>
    </w:rPr>
    <w:tblPr>
      <w:tblInd w:w="0" w:type="dxa"/>
      <w:tblCellMar>
        <w:top w:w="0" w:type="dxa"/>
        <w:left w:w="0" w:type="dxa"/>
        <w:bottom w:w="0" w:type="dxa"/>
        <w:right w:w="0" w:type="dxa"/>
      </w:tblCellMar>
    </w:tblPr>
  </w:style>
  <w:style w:type="numbering" w:customStyle="1" w:styleId="1">
    <w:name w:val="無清單1"/>
    <w:next w:val="a2"/>
    <w:uiPriority w:val="99"/>
    <w:semiHidden/>
    <w:unhideWhenUsed/>
    <w:rsid w:val="00184215"/>
  </w:style>
  <w:style w:type="table" w:customStyle="1" w:styleId="10">
    <w:name w:val="表格格線1"/>
    <w:basedOn w:val="a1"/>
    <w:next w:val="a7"/>
    <w:uiPriority w:val="59"/>
    <w:rsid w:val="0018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84215"/>
    <w:pPr>
      <w:widowControl w:val="0"/>
    </w:pPr>
    <w:rPr>
      <w:kern w:val="0"/>
      <w:sz w:val="22"/>
      <w:lang w:eastAsia="en-US"/>
    </w:rPr>
    <w:tblPr>
      <w:tblInd w:w="0" w:type="dxa"/>
      <w:tblCellMar>
        <w:top w:w="0" w:type="dxa"/>
        <w:left w:w="0" w:type="dxa"/>
        <w:bottom w:w="0" w:type="dxa"/>
        <w:right w:w="0" w:type="dxa"/>
      </w:tblCellMar>
    </w:tblPr>
  </w:style>
  <w:style w:type="paragraph" w:styleId="HTML">
    <w:name w:val="HTML Preformatted"/>
    <w:basedOn w:val="a"/>
    <w:link w:val="HTML0"/>
    <w:uiPriority w:val="99"/>
    <w:unhideWhenUsed/>
    <w:rsid w:val="000A03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A0314"/>
    <w:rPr>
      <w:rFonts w:ascii="細明體" w:eastAsia="細明體" w:hAnsi="細明體" w:cs="細明體"/>
      <w:kern w:val="0"/>
      <w:szCs w:val="24"/>
    </w:rPr>
  </w:style>
  <w:style w:type="character" w:customStyle="1" w:styleId="11">
    <w:name w:val="未解析的提及項目1"/>
    <w:basedOn w:val="a0"/>
    <w:uiPriority w:val="99"/>
    <w:semiHidden/>
    <w:unhideWhenUsed/>
    <w:rsid w:val="00CF4936"/>
    <w:rPr>
      <w:color w:val="808080"/>
      <w:shd w:val="clear" w:color="auto" w:fill="E6E6E6"/>
    </w:rPr>
  </w:style>
  <w:style w:type="paragraph" w:customStyle="1" w:styleId="12">
    <w:name w:val="內文1"/>
    <w:basedOn w:val="a"/>
    <w:rsid w:val="009E3137"/>
    <w:pPr>
      <w:snapToGrid w:val="0"/>
      <w:spacing w:line="300" w:lineRule="auto"/>
    </w:pPr>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343">
      <w:bodyDiv w:val="1"/>
      <w:marLeft w:val="0"/>
      <w:marRight w:val="0"/>
      <w:marTop w:val="0"/>
      <w:marBottom w:val="0"/>
      <w:divBdr>
        <w:top w:val="none" w:sz="0" w:space="0" w:color="auto"/>
        <w:left w:val="none" w:sz="0" w:space="0" w:color="auto"/>
        <w:bottom w:val="none" w:sz="0" w:space="0" w:color="auto"/>
        <w:right w:val="none" w:sz="0" w:space="0" w:color="auto"/>
      </w:divBdr>
    </w:div>
    <w:div w:id="29696096">
      <w:bodyDiv w:val="1"/>
      <w:marLeft w:val="0"/>
      <w:marRight w:val="0"/>
      <w:marTop w:val="0"/>
      <w:marBottom w:val="0"/>
      <w:divBdr>
        <w:top w:val="none" w:sz="0" w:space="0" w:color="auto"/>
        <w:left w:val="none" w:sz="0" w:space="0" w:color="auto"/>
        <w:bottom w:val="none" w:sz="0" w:space="0" w:color="auto"/>
        <w:right w:val="none" w:sz="0" w:space="0" w:color="auto"/>
      </w:divBdr>
    </w:div>
    <w:div w:id="325478354">
      <w:bodyDiv w:val="1"/>
      <w:marLeft w:val="0"/>
      <w:marRight w:val="0"/>
      <w:marTop w:val="0"/>
      <w:marBottom w:val="0"/>
      <w:divBdr>
        <w:top w:val="none" w:sz="0" w:space="0" w:color="auto"/>
        <w:left w:val="none" w:sz="0" w:space="0" w:color="auto"/>
        <w:bottom w:val="none" w:sz="0" w:space="0" w:color="auto"/>
        <w:right w:val="none" w:sz="0" w:space="0" w:color="auto"/>
      </w:divBdr>
    </w:div>
    <w:div w:id="368729647">
      <w:bodyDiv w:val="1"/>
      <w:marLeft w:val="0"/>
      <w:marRight w:val="0"/>
      <w:marTop w:val="0"/>
      <w:marBottom w:val="0"/>
      <w:divBdr>
        <w:top w:val="none" w:sz="0" w:space="0" w:color="auto"/>
        <w:left w:val="none" w:sz="0" w:space="0" w:color="auto"/>
        <w:bottom w:val="none" w:sz="0" w:space="0" w:color="auto"/>
        <w:right w:val="none" w:sz="0" w:space="0" w:color="auto"/>
      </w:divBdr>
    </w:div>
    <w:div w:id="412552314">
      <w:bodyDiv w:val="1"/>
      <w:marLeft w:val="0"/>
      <w:marRight w:val="0"/>
      <w:marTop w:val="0"/>
      <w:marBottom w:val="0"/>
      <w:divBdr>
        <w:top w:val="none" w:sz="0" w:space="0" w:color="auto"/>
        <w:left w:val="none" w:sz="0" w:space="0" w:color="auto"/>
        <w:bottom w:val="none" w:sz="0" w:space="0" w:color="auto"/>
        <w:right w:val="none" w:sz="0" w:space="0" w:color="auto"/>
      </w:divBdr>
    </w:div>
    <w:div w:id="494495346">
      <w:bodyDiv w:val="1"/>
      <w:marLeft w:val="0"/>
      <w:marRight w:val="0"/>
      <w:marTop w:val="0"/>
      <w:marBottom w:val="0"/>
      <w:divBdr>
        <w:top w:val="none" w:sz="0" w:space="0" w:color="auto"/>
        <w:left w:val="none" w:sz="0" w:space="0" w:color="auto"/>
        <w:bottom w:val="none" w:sz="0" w:space="0" w:color="auto"/>
        <w:right w:val="none" w:sz="0" w:space="0" w:color="auto"/>
      </w:divBdr>
    </w:div>
    <w:div w:id="506023877">
      <w:bodyDiv w:val="1"/>
      <w:marLeft w:val="0"/>
      <w:marRight w:val="0"/>
      <w:marTop w:val="0"/>
      <w:marBottom w:val="0"/>
      <w:divBdr>
        <w:top w:val="none" w:sz="0" w:space="0" w:color="auto"/>
        <w:left w:val="none" w:sz="0" w:space="0" w:color="auto"/>
        <w:bottom w:val="none" w:sz="0" w:space="0" w:color="auto"/>
        <w:right w:val="none" w:sz="0" w:space="0" w:color="auto"/>
      </w:divBdr>
    </w:div>
    <w:div w:id="551117333">
      <w:bodyDiv w:val="1"/>
      <w:marLeft w:val="0"/>
      <w:marRight w:val="0"/>
      <w:marTop w:val="0"/>
      <w:marBottom w:val="0"/>
      <w:divBdr>
        <w:top w:val="none" w:sz="0" w:space="0" w:color="auto"/>
        <w:left w:val="none" w:sz="0" w:space="0" w:color="auto"/>
        <w:bottom w:val="none" w:sz="0" w:space="0" w:color="auto"/>
        <w:right w:val="none" w:sz="0" w:space="0" w:color="auto"/>
      </w:divBdr>
    </w:div>
    <w:div w:id="662784932">
      <w:bodyDiv w:val="1"/>
      <w:marLeft w:val="0"/>
      <w:marRight w:val="0"/>
      <w:marTop w:val="0"/>
      <w:marBottom w:val="0"/>
      <w:divBdr>
        <w:top w:val="none" w:sz="0" w:space="0" w:color="auto"/>
        <w:left w:val="none" w:sz="0" w:space="0" w:color="auto"/>
        <w:bottom w:val="none" w:sz="0" w:space="0" w:color="auto"/>
        <w:right w:val="none" w:sz="0" w:space="0" w:color="auto"/>
      </w:divBdr>
    </w:div>
    <w:div w:id="673608870">
      <w:bodyDiv w:val="1"/>
      <w:marLeft w:val="0"/>
      <w:marRight w:val="0"/>
      <w:marTop w:val="0"/>
      <w:marBottom w:val="0"/>
      <w:divBdr>
        <w:top w:val="none" w:sz="0" w:space="0" w:color="auto"/>
        <w:left w:val="none" w:sz="0" w:space="0" w:color="auto"/>
        <w:bottom w:val="none" w:sz="0" w:space="0" w:color="auto"/>
        <w:right w:val="none" w:sz="0" w:space="0" w:color="auto"/>
      </w:divBdr>
    </w:div>
    <w:div w:id="731272593">
      <w:bodyDiv w:val="1"/>
      <w:marLeft w:val="0"/>
      <w:marRight w:val="0"/>
      <w:marTop w:val="0"/>
      <w:marBottom w:val="0"/>
      <w:divBdr>
        <w:top w:val="none" w:sz="0" w:space="0" w:color="auto"/>
        <w:left w:val="none" w:sz="0" w:space="0" w:color="auto"/>
        <w:bottom w:val="none" w:sz="0" w:space="0" w:color="auto"/>
        <w:right w:val="none" w:sz="0" w:space="0" w:color="auto"/>
      </w:divBdr>
      <w:divsChild>
        <w:div w:id="812259928">
          <w:marLeft w:val="0"/>
          <w:marRight w:val="0"/>
          <w:marTop w:val="150"/>
          <w:marBottom w:val="0"/>
          <w:divBdr>
            <w:top w:val="none" w:sz="0" w:space="0" w:color="auto"/>
            <w:left w:val="none" w:sz="0" w:space="0" w:color="auto"/>
            <w:bottom w:val="none" w:sz="0" w:space="0" w:color="auto"/>
            <w:right w:val="none" w:sz="0" w:space="0" w:color="auto"/>
          </w:divBdr>
          <w:divsChild>
            <w:div w:id="1551842032">
              <w:marLeft w:val="0"/>
              <w:marRight w:val="0"/>
              <w:marTop w:val="0"/>
              <w:marBottom w:val="0"/>
              <w:divBdr>
                <w:top w:val="none" w:sz="0" w:space="0" w:color="auto"/>
                <w:left w:val="none" w:sz="0" w:space="0" w:color="auto"/>
                <w:bottom w:val="none" w:sz="0" w:space="0" w:color="auto"/>
                <w:right w:val="none" w:sz="0" w:space="0" w:color="auto"/>
              </w:divBdr>
              <w:divsChild>
                <w:div w:id="1187598384">
                  <w:marLeft w:val="0"/>
                  <w:marRight w:val="0"/>
                  <w:marTop w:val="0"/>
                  <w:marBottom w:val="0"/>
                  <w:divBdr>
                    <w:top w:val="none" w:sz="0" w:space="0" w:color="auto"/>
                    <w:left w:val="none" w:sz="0" w:space="0" w:color="auto"/>
                    <w:bottom w:val="none" w:sz="0" w:space="0" w:color="auto"/>
                    <w:right w:val="none" w:sz="0" w:space="0" w:color="auto"/>
                  </w:divBdr>
                  <w:divsChild>
                    <w:div w:id="1140419877">
                      <w:marLeft w:val="0"/>
                      <w:marRight w:val="0"/>
                      <w:marTop w:val="0"/>
                      <w:marBottom w:val="0"/>
                      <w:divBdr>
                        <w:top w:val="none" w:sz="0" w:space="0" w:color="auto"/>
                        <w:left w:val="none" w:sz="0" w:space="0" w:color="auto"/>
                        <w:bottom w:val="none" w:sz="0" w:space="0" w:color="auto"/>
                        <w:right w:val="none" w:sz="0" w:space="0" w:color="auto"/>
                      </w:divBdr>
                      <w:divsChild>
                        <w:div w:id="1215002571">
                          <w:marLeft w:val="0"/>
                          <w:marRight w:val="0"/>
                          <w:marTop w:val="0"/>
                          <w:marBottom w:val="150"/>
                          <w:divBdr>
                            <w:top w:val="none" w:sz="0" w:space="0" w:color="auto"/>
                            <w:left w:val="none" w:sz="0" w:space="0" w:color="auto"/>
                            <w:bottom w:val="none" w:sz="0" w:space="0" w:color="auto"/>
                            <w:right w:val="none" w:sz="0" w:space="0" w:color="auto"/>
                          </w:divBdr>
                          <w:divsChild>
                            <w:div w:id="1657293671">
                              <w:marLeft w:val="0"/>
                              <w:marRight w:val="0"/>
                              <w:marTop w:val="0"/>
                              <w:marBottom w:val="0"/>
                              <w:divBdr>
                                <w:top w:val="none" w:sz="0" w:space="0" w:color="auto"/>
                                <w:left w:val="none" w:sz="0" w:space="0" w:color="auto"/>
                                <w:bottom w:val="none" w:sz="0" w:space="0" w:color="auto"/>
                                <w:right w:val="none" w:sz="0" w:space="0" w:color="auto"/>
                              </w:divBdr>
                              <w:divsChild>
                                <w:div w:id="9513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64272">
      <w:bodyDiv w:val="1"/>
      <w:marLeft w:val="0"/>
      <w:marRight w:val="0"/>
      <w:marTop w:val="0"/>
      <w:marBottom w:val="0"/>
      <w:divBdr>
        <w:top w:val="none" w:sz="0" w:space="0" w:color="auto"/>
        <w:left w:val="none" w:sz="0" w:space="0" w:color="auto"/>
        <w:bottom w:val="none" w:sz="0" w:space="0" w:color="auto"/>
        <w:right w:val="none" w:sz="0" w:space="0" w:color="auto"/>
      </w:divBdr>
    </w:div>
    <w:div w:id="787091468">
      <w:bodyDiv w:val="1"/>
      <w:marLeft w:val="0"/>
      <w:marRight w:val="0"/>
      <w:marTop w:val="0"/>
      <w:marBottom w:val="0"/>
      <w:divBdr>
        <w:top w:val="none" w:sz="0" w:space="0" w:color="auto"/>
        <w:left w:val="none" w:sz="0" w:space="0" w:color="auto"/>
        <w:bottom w:val="none" w:sz="0" w:space="0" w:color="auto"/>
        <w:right w:val="none" w:sz="0" w:space="0" w:color="auto"/>
      </w:divBdr>
    </w:div>
    <w:div w:id="815342216">
      <w:bodyDiv w:val="1"/>
      <w:marLeft w:val="0"/>
      <w:marRight w:val="0"/>
      <w:marTop w:val="0"/>
      <w:marBottom w:val="0"/>
      <w:divBdr>
        <w:top w:val="none" w:sz="0" w:space="0" w:color="auto"/>
        <w:left w:val="none" w:sz="0" w:space="0" w:color="auto"/>
        <w:bottom w:val="none" w:sz="0" w:space="0" w:color="auto"/>
        <w:right w:val="none" w:sz="0" w:space="0" w:color="auto"/>
      </w:divBdr>
    </w:div>
    <w:div w:id="827282720">
      <w:bodyDiv w:val="1"/>
      <w:marLeft w:val="0"/>
      <w:marRight w:val="0"/>
      <w:marTop w:val="0"/>
      <w:marBottom w:val="0"/>
      <w:divBdr>
        <w:top w:val="none" w:sz="0" w:space="0" w:color="auto"/>
        <w:left w:val="none" w:sz="0" w:space="0" w:color="auto"/>
        <w:bottom w:val="none" w:sz="0" w:space="0" w:color="auto"/>
        <w:right w:val="none" w:sz="0" w:space="0" w:color="auto"/>
      </w:divBdr>
    </w:div>
    <w:div w:id="1176850223">
      <w:bodyDiv w:val="1"/>
      <w:marLeft w:val="0"/>
      <w:marRight w:val="0"/>
      <w:marTop w:val="0"/>
      <w:marBottom w:val="0"/>
      <w:divBdr>
        <w:top w:val="none" w:sz="0" w:space="0" w:color="auto"/>
        <w:left w:val="none" w:sz="0" w:space="0" w:color="auto"/>
        <w:bottom w:val="none" w:sz="0" w:space="0" w:color="auto"/>
        <w:right w:val="none" w:sz="0" w:space="0" w:color="auto"/>
      </w:divBdr>
    </w:div>
    <w:div w:id="1179809674">
      <w:bodyDiv w:val="1"/>
      <w:marLeft w:val="0"/>
      <w:marRight w:val="0"/>
      <w:marTop w:val="0"/>
      <w:marBottom w:val="0"/>
      <w:divBdr>
        <w:top w:val="none" w:sz="0" w:space="0" w:color="auto"/>
        <w:left w:val="none" w:sz="0" w:space="0" w:color="auto"/>
        <w:bottom w:val="none" w:sz="0" w:space="0" w:color="auto"/>
        <w:right w:val="none" w:sz="0" w:space="0" w:color="auto"/>
      </w:divBdr>
    </w:div>
    <w:div w:id="1239558165">
      <w:bodyDiv w:val="1"/>
      <w:marLeft w:val="0"/>
      <w:marRight w:val="0"/>
      <w:marTop w:val="0"/>
      <w:marBottom w:val="0"/>
      <w:divBdr>
        <w:top w:val="none" w:sz="0" w:space="0" w:color="auto"/>
        <w:left w:val="none" w:sz="0" w:space="0" w:color="auto"/>
        <w:bottom w:val="none" w:sz="0" w:space="0" w:color="auto"/>
        <w:right w:val="none" w:sz="0" w:space="0" w:color="auto"/>
      </w:divBdr>
    </w:div>
    <w:div w:id="1255362378">
      <w:bodyDiv w:val="1"/>
      <w:marLeft w:val="0"/>
      <w:marRight w:val="0"/>
      <w:marTop w:val="0"/>
      <w:marBottom w:val="0"/>
      <w:divBdr>
        <w:top w:val="none" w:sz="0" w:space="0" w:color="auto"/>
        <w:left w:val="none" w:sz="0" w:space="0" w:color="auto"/>
        <w:bottom w:val="none" w:sz="0" w:space="0" w:color="auto"/>
        <w:right w:val="none" w:sz="0" w:space="0" w:color="auto"/>
      </w:divBdr>
    </w:div>
    <w:div w:id="1276447984">
      <w:bodyDiv w:val="1"/>
      <w:marLeft w:val="0"/>
      <w:marRight w:val="0"/>
      <w:marTop w:val="0"/>
      <w:marBottom w:val="0"/>
      <w:divBdr>
        <w:top w:val="none" w:sz="0" w:space="0" w:color="auto"/>
        <w:left w:val="none" w:sz="0" w:space="0" w:color="auto"/>
        <w:bottom w:val="none" w:sz="0" w:space="0" w:color="auto"/>
        <w:right w:val="none" w:sz="0" w:space="0" w:color="auto"/>
      </w:divBdr>
    </w:div>
    <w:div w:id="1337146886">
      <w:bodyDiv w:val="1"/>
      <w:marLeft w:val="0"/>
      <w:marRight w:val="0"/>
      <w:marTop w:val="0"/>
      <w:marBottom w:val="0"/>
      <w:divBdr>
        <w:top w:val="none" w:sz="0" w:space="0" w:color="auto"/>
        <w:left w:val="none" w:sz="0" w:space="0" w:color="auto"/>
        <w:bottom w:val="none" w:sz="0" w:space="0" w:color="auto"/>
        <w:right w:val="none" w:sz="0" w:space="0" w:color="auto"/>
      </w:divBdr>
    </w:div>
    <w:div w:id="1354499543">
      <w:bodyDiv w:val="1"/>
      <w:marLeft w:val="0"/>
      <w:marRight w:val="0"/>
      <w:marTop w:val="0"/>
      <w:marBottom w:val="0"/>
      <w:divBdr>
        <w:top w:val="none" w:sz="0" w:space="0" w:color="auto"/>
        <w:left w:val="none" w:sz="0" w:space="0" w:color="auto"/>
        <w:bottom w:val="none" w:sz="0" w:space="0" w:color="auto"/>
        <w:right w:val="none" w:sz="0" w:space="0" w:color="auto"/>
      </w:divBdr>
      <w:divsChild>
        <w:div w:id="1549798122">
          <w:marLeft w:val="0"/>
          <w:marRight w:val="0"/>
          <w:marTop w:val="150"/>
          <w:marBottom w:val="0"/>
          <w:divBdr>
            <w:top w:val="none" w:sz="0" w:space="0" w:color="auto"/>
            <w:left w:val="none" w:sz="0" w:space="0" w:color="auto"/>
            <w:bottom w:val="none" w:sz="0" w:space="0" w:color="auto"/>
            <w:right w:val="none" w:sz="0" w:space="0" w:color="auto"/>
          </w:divBdr>
          <w:divsChild>
            <w:div w:id="1286545459">
              <w:marLeft w:val="0"/>
              <w:marRight w:val="0"/>
              <w:marTop w:val="0"/>
              <w:marBottom w:val="0"/>
              <w:divBdr>
                <w:top w:val="none" w:sz="0" w:space="0" w:color="auto"/>
                <w:left w:val="none" w:sz="0" w:space="0" w:color="auto"/>
                <w:bottom w:val="none" w:sz="0" w:space="0" w:color="auto"/>
                <w:right w:val="none" w:sz="0" w:space="0" w:color="auto"/>
              </w:divBdr>
              <w:divsChild>
                <w:div w:id="1773012861">
                  <w:marLeft w:val="0"/>
                  <w:marRight w:val="0"/>
                  <w:marTop w:val="0"/>
                  <w:marBottom w:val="0"/>
                  <w:divBdr>
                    <w:top w:val="none" w:sz="0" w:space="0" w:color="auto"/>
                    <w:left w:val="none" w:sz="0" w:space="0" w:color="auto"/>
                    <w:bottom w:val="none" w:sz="0" w:space="0" w:color="auto"/>
                    <w:right w:val="none" w:sz="0" w:space="0" w:color="auto"/>
                  </w:divBdr>
                  <w:divsChild>
                    <w:div w:id="1849520088">
                      <w:marLeft w:val="0"/>
                      <w:marRight w:val="0"/>
                      <w:marTop w:val="0"/>
                      <w:marBottom w:val="0"/>
                      <w:divBdr>
                        <w:top w:val="none" w:sz="0" w:space="0" w:color="auto"/>
                        <w:left w:val="none" w:sz="0" w:space="0" w:color="auto"/>
                        <w:bottom w:val="none" w:sz="0" w:space="0" w:color="auto"/>
                        <w:right w:val="none" w:sz="0" w:space="0" w:color="auto"/>
                      </w:divBdr>
                      <w:divsChild>
                        <w:div w:id="1034422879">
                          <w:marLeft w:val="0"/>
                          <w:marRight w:val="0"/>
                          <w:marTop w:val="0"/>
                          <w:marBottom w:val="150"/>
                          <w:divBdr>
                            <w:top w:val="none" w:sz="0" w:space="0" w:color="auto"/>
                            <w:left w:val="none" w:sz="0" w:space="0" w:color="auto"/>
                            <w:bottom w:val="none" w:sz="0" w:space="0" w:color="auto"/>
                            <w:right w:val="none" w:sz="0" w:space="0" w:color="auto"/>
                          </w:divBdr>
                          <w:divsChild>
                            <w:div w:id="2102295652">
                              <w:marLeft w:val="0"/>
                              <w:marRight w:val="0"/>
                              <w:marTop w:val="0"/>
                              <w:marBottom w:val="0"/>
                              <w:divBdr>
                                <w:top w:val="none" w:sz="0" w:space="0" w:color="auto"/>
                                <w:left w:val="none" w:sz="0" w:space="0" w:color="auto"/>
                                <w:bottom w:val="none" w:sz="0" w:space="0" w:color="auto"/>
                                <w:right w:val="none" w:sz="0" w:space="0" w:color="auto"/>
                              </w:divBdr>
                              <w:divsChild>
                                <w:div w:id="13012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72270">
      <w:bodyDiv w:val="1"/>
      <w:marLeft w:val="0"/>
      <w:marRight w:val="0"/>
      <w:marTop w:val="0"/>
      <w:marBottom w:val="0"/>
      <w:divBdr>
        <w:top w:val="none" w:sz="0" w:space="0" w:color="auto"/>
        <w:left w:val="none" w:sz="0" w:space="0" w:color="auto"/>
        <w:bottom w:val="none" w:sz="0" w:space="0" w:color="auto"/>
        <w:right w:val="none" w:sz="0" w:space="0" w:color="auto"/>
      </w:divBdr>
    </w:div>
    <w:div w:id="1404110152">
      <w:bodyDiv w:val="1"/>
      <w:marLeft w:val="0"/>
      <w:marRight w:val="0"/>
      <w:marTop w:val="0"/>
      <w:marBottom w:val="0"/>
      <w:divBdr>
        <w:top w:val="none" w:sz="0" w:space="0" w:color="auto"/>
        <w:left w:val="none" w:sz="0" w:space="0" w:color="auto"/>
        <w:bottom w:val="none" w:sz="0" w:space="0" w:color="auto"/>
        <w:right w:val="none" w:sz="0" w:space="0" w:color="auto"/>
      </w:divBdr>
    </w:div>
    <w:div w:id="1454787349">
      <w:bodyDiv w:val="1"/>
      <w:marLeft w:val="0"/>
      <w:marRight w:val="0"/>
      <w:marTop w:val="0"/>
      <w:marBottom w:val="0"/>
      <w:divBdr>
        <w:top w:val="none" w:sz="0" w:space="0" w:color="auto"/>
        <w:left w:val="none" w:sz="0" w:space="0" w:color="auto"/>
        <w:bottom w:val="none" w:sz="0" w:space="0" w:color="auto"/>
        <w:right w:val="none" w:sz="0" w:space="0" w:color="auto"/>
      </w:divBdr>
      <w:divsChild>
        <w:div w:id="1887332308">
          <w:marLeft w:val="0"/>
          <w:marRight w:val="0"/>
          <w:marTop w:val="0"/>
          <w:marBottom w:val="0"/>
          <w:divBdr>
            <w:top w:val="none" w:sz="0" w:space="0" w:color="auto"/>
            <w:left w:val="none" w:sz="0" w:space="0" w:color="auto"/>
            <w:bottom w:val="none" w:sz="0" w:space="0" w:color="auto"/>
            <w:right w:val="none" w:sz="0" w:space="0" w:color="auto"/>
          </w:divBdr>
          <w:divsChild>
            <w:div w:id="1079640908">
              <w:marLeft w:val="0"/>
              <w:marRight w:val="0"/>
              <w:marTop w:val="0"/>
              <w:marBottom w:val="0"/>
              <w:divBdr>
                <w:top w:val="none" w:sz="0" w:space="0" w:color="auto"/>
                <w:left w:val="none" w:sz="0" w:space="0" w:color="auto"/>
                <w:bottom w:val="none" w:sz="0" w:space="0" w:color="auto"/>
                <w:right w:val="none" w:sz="0" w:space="0" w:color="auto"/>
              </w:divBdr>
              <w:divsChild>
                <w:div w:id="1742604687">
                  <w:marLeft w:val="0"/>
                  <w:marRight w:val="0"/>
                  <w:marTop w:val="0"/>
                  <w:marBottom w:val="0"/>
                  <w:divBdr>
                    <w:top w:val="none" w:sz="0" w:space="0" w:color="auto"/>
                    <w:left w:val="none" w:sz="0" w:space="0" w:color="auto"/>
                    <w:bottom w:val="none" w:sz="0" w:space="0" w:color="auto"/>
                    <w:right w:val="none" w:sz="0" w:space="0" w:color="auto"/>
                  </w:divBdr>
                  <w:divsChild>
                    <w:div w:id="1723674343">
                      <w:marLeft w:val="0"/>
                      <w:marRight w:val="0"/>
                      <w:marTop w:val="0"/>
                      <w:marBottom w:val="0"/>
                      <w:divBdr>
                        <w:top w:val="none" w:sz="0" w:space="0" w:color="auto"/>
                        <w:left w:val="none" w:sz="0" w:space="0" w:color="auto"/>
                        <w:bottom w:val="none" w:sz="0" w:space="0" w:color="auto"/>
                        <w:right w:val="none" w:sz="0" w:space="0" w:color="auto"/>
                      </w:divBdr>
                      <w:divsChild>
                        <w:div w:id="577638410">
                          <w:marLeft w:val="0"/>
                          <w:marRight w:val="0"/>
                          <w:marTop w:val="0"/>
                          <w:marBottom w:val="0"/>
                          <w:divBdr>
                            <w:top w:val="single" w:sz="4" w:space="7" w:color="CCCCCC"/>
                            <w:left w:val="none" w:sz="0" w:space="0" w:color="auto"/>
                            <w:bottom w:val="none" w:sz="0" w:space="0" w:color="auto"/>
                            <w:right w:val="none" w:sz="0" w:space="0" w:color="auto"/>
                          </w:divBdr>
                        </w:div>
                      </w:divsChild>
                    </w:div>
                  </w:divsChild>
                </w:div>
              </w:divsChild>
            </w:div>
          </w:divsChild>
        </w:div>
      </w:divsChild>
    </w:div>
    <w:div w:id="1488934451">
      <w:bodyDiv w:val="1"/>
      <w:marLeft w:val="0"/>
      <w:marRight w:val="0"/>
      <w:marTop w:val="0"/>
      <w:marBottom w:val="0"/>
      <w:divBdr>
        <w:top w:val="none" w:sz="0" w:space="0" w:color="auto"/>
        <w:left w:val="none" w:sz="0" w:space="0" w:color="auto"/>
        <w:bottom w:val="none" w:sz="0" w:space="0" w:color="auto"/>
        <w:right w:val="none" w:sz="0" w:space="0" w:color="auto"/>
      </w:divBdr>
    </w:div>
    <w:div w:id="1512456251">
      <w:bodyDiv w:val="1"/>
      <w:marLeft w:val="0"/>
      <w:marRight w:val="0"/>
      <w:marTop w:val="0"/>
      <w:marBottom w:val="0"/>
      <w:divBdr>
        <w:top w:val="none" w:sz="0" w:space="0" w:color="auto"/>
        <w:left w:val="none" w:sz="0" w:space="0" w:color="auto"/>
        <w:bottom w:val="none" w:sz="0" w:space="0" w:color="auto"/>
        <w:right w:val="none" w:sz="0" w:space="0" w:color="auto"/>
      </w:divBdr>
    </w:div>
    <w:div w:id="1542130561">
      <w:bodyDiv w:val="1"/>
      <w:marLeft w:val="0"/>
      <w:marRight w:val="0"/>
      <w:marTop w:val="0"/>
      <w:marBottom w:val="0"/>
      <w:divBdr>
        <w:top w:val="none" w:sz="0" w:space="0" w:color="auto"/>
        <w:left w:val="none" w:sz="0" w:space="0" w:color="auto"/>
        <w:bottom w:val="none" w:sz="0" w:space="0" w:color="auto"/>
        <w:right w:val="none" w:sz="0" w:space="0" w:color="auto"/>
      </w:divBdr>
    </w:div>
    <w:div w:id="1554735308">
      <w:bodyDiv w:val="1"/>
      <w:marLeft w:val="0"/>
      <w:marRight w:val="0"/>
      <w:marTop w:val="0"/>
      <w:marBottom w:val="0"/>
      <w:divBdr>
        <w:top w:val="none" w:sz="0" w:space="0" w:color="auto"/>
        <w:left w:val="none" w:sz="0" w:space="0" w:color="auto"/>
        <w:bottom w:val="none" w:sz="0" w:space="0" w:color="auto"/>
        <w:right w:val="none" w:sz="0" w:space="0" w:color="auto"/>
      </w:divBdr>
    </w:div>
    <w:div w:id="1573540176">
      <w:bodyDiv w:val="1"/>
      <w:marLeft w:val="0"/>
      <w:marRight w:val="0"/>
      <w:marTop w:val="0"/>
      <w:marBottom w:val="0"/>
      <w:divBdr>
        <w:top w:val="none" w:sz="0" w:space="0" w:color="auto"/>
        <w:left w:val="none" w:sz="0" w:space="0" w:color="auto"/>
        <w:bottom w:val="none" w:sz="0" w:space="0" w:color="auto"/>
        <w:right w:val="none" w:sz="0" w:space="0" w:color="auto"/>
      </w:divBdr>
    </w:div>
    <w:div w:id="1683581421">
      <w:bodyDiv w:val="1"/>
      <w:marLeft w:val="0"/>
      <w:marRight w:val="0"/>
      <w:marTop w:val="0"/>
      <w:marBottom w:val="0"/>
      <w:divBdr>
        <w:top w:val="none" w:sz="0" w:space="0" w:color="auto"/>
        <w:left w:val="none" w:sz="0" w:space="0" w:color="auto"/>
        <w:bottom w:val="none" w:sz="0" w:space="0" w:color="auto"/>
        <w:right w:val="none" w:sz="0" w:space="0" w:color="auto"/>
      </w:divBdr>
    </w:div>
    <w:div w:id="1703630506">
      <w:bodyDiv w:val="1"/>
      <w:marLeft w:val="0"/>
      <w:marRight w:val="0"/>
      <w:marTop w:val="0"/>
      <w:marBottom w:val="0"/>
      <w:divBdr>
        <w:top w:val="none" w:sz="0" w:space="0" w:color="auto"/>
        <w:left w:val="none" w:sz="0" w:space="0" w:color="auto"/>
        <w:bottom w:val="none" w:sz="0" w:space="0" w:color="auto"/>
        <w:right w:val="none" w:sz="0" w:space="0" w:color="auto"/>
      </w:divBdr>
    </w:div>
    <w:div w:id="1705473682">
      <w:bodyDiv w:val="1"/>
      <w:marLeft w:val="0"/>
      <w:marRight w:val="0"/>
      <w:marTop w:val="0"/>
      <w:marBottom w:val="0"/>
      <w:divBdr>
        <w:top w:val="none" w:sz="0" w:space="0" w:color="auto"/>
        <w:left w:val="none" w:sz="0" w:space="0" w:color="auto"/>
        <w:bottom w:val="none" w:sz="0" w:space="0" w:color="auto"/>
        <w:right w:val="none" w:sz="0" w:space="0" w:color="auto"/>
      </w:divBdr>
    </w:div>
    <w:div w:id="1734817026">
      <w:bodyDiv w:val="1"/>
      <w:marLeft w:val="0"/>
      <w:marRight w:val="0"/>
      <w:marTop w:val="0"/>
      <w:marBottom w:val="0"/>
      <w:divBdr>
        <w:top w:val="none" w:sz="0" w:space="0" w:color="auto"/>
        <w:left w:val="none" w:sz="0" w:space="0" w:color="auto"/>
        <w:bottom w:val="none" w:sz="0" w:space="0" w:color="auto"/>
        <w:right w:val="none" w:sz="0" w:space="0" w:color="auto"/>
      </w:divBdr>
    </w:div>
    <w:div w:id="1755392739">
      <w:bodyDiv w:val="1"/>
      <w:marLeft w:val="0"/>
      <w:marRight w:val="0"/>
      <w:marTop w:val="0"/>
      <w:marBottom w:val="0"/>
      <w:divBdr>
        <w:top w:val="none" w:sz="0" w:space="0" w:color="auto"/>
        <w:left w:val="none" w:sz="0" w:space="0" w:color="auto"/>
        <w:bottom w:val="none" w:sz="0" w:space="0" w:color="auto"/>
        <w:right w:val="none" w:sz="0" w:space="0" w:color="auto"/>
      </w:divBdr>
    </w:div>
    <w:div w:id="1847550452">
      <w:bodyDiv w:val="1"/>
      <w:marLeft w:val="0"/>
      <w:marRight w:val="0"/>
      <w:marTop w:val="0"/>
      <w:marBottom w:val="0"/>
      <w:divBdr>
        <w:top w:val="none" w:sz="0" w:space="0" w:color="auto"/>
        <w:left w:val="none" w:sz="0" w:space="0" w:color="auto"/>
        <w:bottom w:val="none" w:sz="0" w:space="0" w:color="auto"/>
        <w:right w:val="none" w:sz="0" w:space="0" w:color="auto"/>
      </w:divBdr>
    </w:div>
    <w:div w:id="1876044046">
      <w:bodyDiv w:val="1"/>
      <w:marLeft w:val="0"/>
      <w:marRight w:val="0"/>
      <w:marTop w:val="0"/>
      <w:marBottom w:val="0"/>
      <w:divBdr>
        <w:top w:val="none" w:sz="0" w:space="0" w:color="auto"/>
        <w:left w:val="none" w:sz="0" w:space="0" w:color="auto"/>
        <w:bottom w:val="none" w:sz="0" w:space="0" w:color="auto"/>
        <w:right w:val="none" w:sz="0" w:space="0" w:color="auto"/>
      </w:divBdr>
      <w:divsChild>
        <w:div w:id="763259681">
          <w:marLeft w:val="0"/>
          <w:marRight w:val="0"/>
          <w:marTop w:val="150"/>
          <w:marBottom w:val="0"/>
          <w:divBdr>
            <w:top w:val="none" w:sz="0" w:space="0" w:color="auto"/>
            <w:left w:val="none" w:sz="0" w:space="0" w:color="auto"/>
            <w:bottom w:val="none" w:sz="0" w:space="0" w:color="auto"/>
            <w:right w:val="none" w:sz="0" w:space="0" w:color="auto"/>
          </w:divBdr>
          <w:divsChild>
            <w:div w:id="1428576060">
              <w:marLeft w:val="0"/>
              <w:marRight w:val="0"/>
              <w:marTop w:val="0"/>
              <w:marBottom w:val="0"/>
              <w:divBdr>
                <w:top w:val="none" w:sz="0" w:space="0" w:color="auto"/>
                <w:left w:val="none" w:sz="0" w:space="0" w:color="auto"/>
                <w:bottom w:val="none" w:sz="0" w:space="0" w:color="auto"/>
                <w:right w:val="none" w:sz="0" w:space="0" w:color="auto"/>
              </w:divBdr>
              <w:divsChild>
                <w:div w:id="1147746053">
                  <w:marLeft w:val="0"/>
                  <w:marRight w:val="0"/>
                  <w:marTop w:val="0"/>
                  <w:marBottom w:val="0"/>
                  <w:divBdr>
                    <w:top w:val="none" w:sz="0" w:space="0" w:color="auto"/>
                    <w:left w:val="none" w:sz="0" w:space="0" w:color="auto"/>
                    <w:bottom w:val="none" w:sz="0" w:space="0" w:color="auto"/>
                    <w:right w:val="none" w:sz="0" w:space="0" w:color="auto"/>
                  </w:divBdr>
                  <w:divsChild>
                    <w:div w:id="2126657855">
                      <w:marLeft w:val="0"/>
                      <w:marRight w:val="0"/>
                      <w:marTop w:val="0"/>
                      <w:marBottom w:val="0"/>
                      <w:divBdr>
                        <w:top w:val="none" w:sz="0" w:space="0" w:color="auto"/>
                        <w:left w:val="none" w:sz="0" w:space="0" w:color="auto"/>
                        <w:bottom w:val="none" w:sz="0" w:space="0" w:color="auto"/>
                        <w:right w:val="none" w:sz="0" w:space="0" w:color="auto"/>
                      </w:divBdr>
                      <w:divsChild>
                        <w:div w:id="574973912">
                          <w:marLeft w:val="0"/>
                          <w:marRight w:val="0"/>
                          <w:marTop w:val="0"/>
                          <w:marBottom w:val="150"/>
                          <w:divBdr>
                            <w:top w:val="none" w:sz="0" w:space="0" w:color="auto"/>
                            <w:left w:val="none" w:sz="0" w:space="0" w:color="auto"/>
                            <w:bottom w:val="none" w:sz="0" w:space="0" w:color="auto"/>
                            <w:right w:val="none" w:sz="0" w:space="0" w:color="auto"/>
                          </w:divBdr>
                          <w:divsChild>
                            <w:div w:id="1716196154">
                              <w:marLeft w:val="0"/>
                              <w:marRight w:val="0"/>
                              <w:marTop w:val="0"/>
                              <w:marBottom w:val="0"/>
                              <w:divBdr>
                                <w:top w:val="none" w:sz="0" w:space="0" w:color="auto"/>
                                <w:left w:val="none" w:sz="0" w:space="0" w:color="auto"/>
                                <w:bottom w:val="none" w:sz="0" w:space="0" w:color="auto"/>
                                <w:right w:val="none" w:sz="0" w:space="0" w:color="auto"/>
                              </w:divBdr>
                              <w:divsChild>
                                <w:div w:id="1946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352604">
      <w:bodyDiv w:val="1"/>
      <w:marLeft w:val="0"/>
      <w:marRight w:val="0"/>
      <w:marTop w:val="0"/>
      <w:marBottom w:val="0"/>
      <w:divBdr>
        <w:top w:val="none" w:sz="0" w:space="0" w:color="auto"/>
        <w:left w:val="none" w:sz="0" w:space="0" w:color="auto"/>
        <w:bottom w:val="none" w:sz="0" w:space="0" w:color="auto"/>
        <w:right w:val="none" w:sz="0" w:space="0" w:color="auto"/>
      </w:divBdr>
    </w:div>
    <w:div w:id="1980721137">
      <w:bodyDiv w:val="1"/>
      <w:marLeft w:val="0"/>
      <w:marRight w:val="0"/>
      <w:marTop w:val="0"/>
      <w:marBottom w:val="0"/>
      <w:divBdr>
        <w:top w:val="none" w:sz="0" w:space="0" w:color="auto"/>
        <w:left w:val="none" w:sz="0" w:space="0" w:color="auto"/>
        <w:bottom w:val="none" w:sz="0" w:space="0" w:color="auto"/>
        <w:right w:val="none" w:sz="0" w:space="0" w:color="auto"/>
      </w:divBdr>
    </w:div>
    <w:div w:id="2030451235">
      <w:bodyDiv w:val="1"/>
      <w:marLeft w:val="0"/>
      <w:marRight w:val="0"/>
      <w:marTop w:val="0"/>
      <w:marBottom w:val="0"/>
      <w:divBdr>
        <w:top w:val="none" w:sz="0" w:space="0" w:color="auto"/>
        <w:left w:val="none" w:sz="0" w:space="0" w:color="auto"/>
        <w:bottom w:val="none" w:sz="0" w:space="0" w:color="auto"/>
        <w:right w:val="none" w:sz="0" w:space="0" w:color="auto"/>
      </w:divBdr>
    </w:div>
    <w:div w:id="20686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45281-9A2C-4902-862F-78C13A12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544</Words>
  <Characters>3101</Characters>
  <Application>Microsoft Office Word</Application>
  <DocSecurity>0</DocSecurity>
  <Lines>25</Lines>
  <Paragraphs>7</Paragraphs>
  <ScaleCrop>false</ScaleCrop>
  <Company>Hewlett-Packard Company</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李伊濘</cp:lastModifiedBy>
  <cp:revision>4</cp:revision>
  <cp:lastPrinted>2017-12-28T10:01:00Z</cp:lastPrinted>
  <dcterms:created xsi:type="dcterms:W3CDTF">2017-12-28T08:18:00Z</dcterms:created>
  <dcterms:modified xsi:type="dcterms:W3CDTF">2017-12-28T10:03:00Z</dcterms:modified>
</cp:coreProperties>
</file>