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6B" w:rsidRPr="00727F17" w:rsidRDefault="00F57486" w:rsidP="00727F17">
      <w:pPr>
        <w:snapToGrid w:val="0"/>
        <w:spacing w:line="440" w:lineRule="exact"/>
        <w:jc w:val="both"/>
        <w:rPr>
          <w:rFonts w:ascii="標楷體" w:eastAsia="標楷體" w:hAnsi="標楷體"/>
          <w:b/>
          <w:sz w:val="36"/>
          <w:szCs w:val="36"/>
        </w:rPr>
      </w:pPr>
      <w:r w:rsidRPr="00727F17">
        <w:rPr>
          <w:rFonts w:ascii="標楷體" w:eastAsia="標楷體" w:hAnsi="標楷體" w:hint="eastAsia"/>
          <w:b/>
          <w:noProof/>
          <w:sz w:val="28"/>
          <w:szCs w:val="36"/>
        </w:rPr>
        <mc:AlternateContent>
          <mc:Choice Requires="wps">
            <w:drawing>
              <wp:anchor distT="0" distB="0" distL="114300" distR="114300" simplePos="0" relativeHeight="251658240" behindDoc="0" locked="0" layoutInCell="1" allowOverlap="1" wp14:anchorId="0E1FF275" wp14:editId="7AA518F0">
                <wp:simplePos x="0" y="0"/>
                <wp:positionH relativeFrom="column">
                  <wp:posOffset>5676900</wp:posOffset>
                </wp:positionH>
                <wp:positionV relativeFrom="paragraph">
                  <wp:posOffset>-260350</wp:posOffset>
                </wp:positionV>
                <wp:extent cx="914400" cy="254000"/>
                <wp:effectExtent l="3810" t="1270"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86" w:rsidRDefault="00F57486" w:rsidP="00F57486">
                            <w:pPr>
                              <w:jc w:val="center"/>
                            </w:pPr>
                            <w:r>
                              <w:rPr>
                                <w:rFonts w:hint="eastAsia"/>
                              </w:rPr>
                              <w:t>105.</w:t>
                            </w:r>
                            <w:r w:rsidR="00096695">
                              <w:t>11.</w:t>
                            </w:r>
                            <w:r w:rsidR="002B42C3">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FF275" id="_x0000_t202" coordsize="21600,21600" o:spt="202" path="m,l,21600r21600,l21600,xe">
                <v:stroke joinstyle="miter"/>
                <v:path gradientshapeok="t" o:connecttype="rect"/>
              </v:shapetype>
              <v:shape id="文字方塊 1" o:spid="_x0000_s1026" type="#_x0000_t202" style="position:absolute;left:0;text-align:left;margin-left:447pt;margin-top:-20.5pt;width:1in;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" filled="f" stroked="f">
                <v:textbox inset="0,0,0,0">
                  <w:txbxContent>
                    <w:p w:rsidR="00F57486" w:rsidRDefault="00F57486" w:rsidP="00F57486">
                      <w:pPr>
                        <w:jc w:val="center"/>
                      </w:pPr>
                      <w:r>
                        <w:rPr>
                          <w:rFonts w:hint="eastAsia"/>
                        </w:rPr>
                        <w:t>105.</w:t>
                      </w:r>
                      <w:r w:rsidR="00096695">
                        <w:t>11.</w:t>
                      </w:r>
                      <w:r w:rsidR="002B42C3">
                        <w:t>15</w:t>
                      </w:r>
                    </w:p>
                  </w:txbxContent>
                </v:textbox>
              </v:shape>
            </w:pict>
          </mc:Fallback>
        </mc:AlternateContent>
      </w:r>
      <w:r w:rsidR="00EE326B" w:rsidRPr="00727F17">
        <w:rPr>
          <w:rFonts w:ascii="標楷體" w:eastAsia="標楷體" w:hAnsi="標楷體" w:hint="eastAsia"/>
          <w:b/>
          <w:sz w:val="28"/>
          <w:szCs w:val="36"/>
        </w:rPr>
        <w:t>財</w:t>
      </w:r>
      <w:r w:rsidR="00EE326B" w:rsidRPr="00727F17">
        <w:rPr>
          <w:rFonts w:ascii="標楷體" w:eastAsia="標楷體" w:hAnsi="標楷體"/>
          <w:b/>
          <w:sz w:val="28"/>
          <w:szCs w:val="36"/>
        </w:rPr>
        <w:t>團法人中華民國證券櫃檯買賣中心</w:t>
      </w:r>
      <w:r w:rsidR="00B1060B" w:rsidRPr="00727F17">
        <w:rPr>
          <w:rFonts w:ascii="標楷體" w:eastAsia="標楷體" w:hAnsi="標楷體"/>
          <w:b/>
          <w:sz w:val="28"/>
          <w:szCs w:val="36"/>
        </w:rPr>
        <w:t>指數股票型基金受益憑證流動量提供者作業要點</w:t>
      </w:r>
      <w:r w:rsidR="00A60926" w:rsidRPr="00727F17">
        <w:rPr>
          <w:rFonts w:ascii="標楷體" w:eastAsia="標楷體" w:hAnsi="標楷體" w:hint="eastAsia"/>
          <w:b/>
          <w:sz w:val="28"/>
          <w:szCs w:val="36"/>
        </w:rPr>
        <w:t>部分</w:t>
      </w:r>
      <w:r w:rsidR="00EE326B" w:rsidRPr="00727F17">
        <w:rPr>
          <w:rFonts w:ascii="標楷體" w:eastAsia="標楷體" w:hAnsi="標楷體" w:hint="eastAsia"/>
          <w:b/>
          <w:sz w:val="28"/>
          <w:szCs w:val="36"/>
        </w:rPr>
        <w:t>修正條文對照表</w:t>
      </w:r>
    </w:p>
    <w:tbl>
      <w:tblPr>
        <w:tblW w:w="102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60"/>
        <w:gridCol w:w="3861"/>
        <w:gridCol w:w="2498"/>
      </w:tblGrid>
      <w:tr w:rsidR="00EE326B" w:rsidRPr="00B1060B" w:rsidTr="008A587A">
        <w:trPr>
          <w:tblHeader/>
          <w:jc w:val="center"/>
        </w:trPr>
        <w:tc>
          <w:tcPr>
            <w:tcW w:w="3860" w:type="dxa"/>
            <w:vAlign w:val="center"/>
          </w:tcPr>
          <w:p w:rsidR="00EE326B" w:rsidRPr="00B1060B" w:rsidRDefault="00EE326B" w:rsidP="002726BC">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修正條文</w:t>
            </w:r>
          </w:p>
        </w:tc>
        <w:tc>
          <w:tcPr>
            <w:tcW w:w="3861" w:type="dxa"/>
            <w:vAlign w:val="center"/>
          </w:tcPr>
          <w:p w:rsidR="00EE326B" w:rsidRPr="00B1060B" w:rsidRDefault="00EE326B" w:rsidP="002726BC">
            <w:pPr>
              <w:widowControl/>
              <w:jc w:val="center"/>
              <w:rPr>
                <w:rFonts w:ascii="Times New Roman" w:eastAsia="標楷體" w:hAnsi="Times New Roman" w:cs="新細明體"/>
                <w:bCs/>
                <w:kern w:val="0"/>
                <w:szCs w:val="24"/>
              </w:rPr>
            </w:pPr>
            <w:r w:rsidRPr="00B1060B">
              <w:rPr>
                <w:rFonts w:ascii="Times New Roman" w:eastAsia="標楷體" w:hint="eastAsia"/>
                <w:bCs/>
                <w:szCs w:val="24"/>
              </w:rPr>
              <w:t>現行條文</w:t>
            </w:r>
          </w:p>
        </w:tc>
        <w:tc>
          <w:tcPr>
            <w:tcW w:w="2498" w:type="dxa"/>
            <w:vAlign w:val="center"/>
          </w:tcPr>
          <w:p w:rsidR="00EE326B" w:rsidRPr="00B1060B" w:rsidRDefault="00EE326B" w:rsidP="002726BC">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說明</w:t>
            </w:r>
          </w:p>
        </w:tc>
      </w:tr>
      <w:tr w:rsidR="00F019EE" w:rsidRPr="00115230" w:rsidTr="008A587A">
        <w:trPr>
          <w:trHeight w:val="2239"/>
          <w:jc w:val="center"/>
        </w:trPr>
        <w:tc>
          <w:tcPr>
            <w:tcW w:w="3860" w:type="dxa"/>
            <w:tcMar>
              <w:left w:w="108" w:type="dxa"/>
              <w:right w:w="108" w:type="dxa"/>
            </w:tcMar>
          </w:tcPr>
          <w:p w:rsidR="00F019EE" w:rsidRPr="006A70F1" w:rsidRDefault="00CF332C" w:rsidP="006B6EB9">
            <w:pPr>
              <w:widowControl/>
              <w:tabs>
                <w:tab w:val="left" w:leader="underscore" w:pos="496"/>
              </w:tabs>
              <w:ind w:left="480" w:hangingChars="200" w:hanging="480"/>
              <w:jc w:val="both"/>
              <w:rPr>
                <w:rFonts w:ascii="Times New Roman" w:eastAsia="標楷體" w:hAnsi="新細明體" w:cs="細明體"/>
                <w:kern w:val="0"/>
                <w:szCs w:val="24"/>
              </w:rPr>
            </w:pPr>
            <w:r>
              <w:rPr>
                <w:rFonts w:ascii="標楷體" w:eastAsia="標楷體" w:hAnsi="標楷體" w:cs="細明體" w:hint="eastAsia"/>
                <w:color w:val="000000"/>
                <w:kern w:val="0"/>
                <w:szCs w:val="24"/>
              </w:rPr>
              <w:t>貳、</w:t>
            </w:r>
            <w:r w:rsidR="006B6EB9">
              <w:rPr>
                <w:rFonts w:ascii="標楷體" w:eastAsia="標楷體" w:hAnsi="標楷體" w:cs="細明體"/>
                <w:color w:val="000000"/>
                <w:kern w:val="0"/>
                <w:szCs w:val="24"/>
              </w:rPr>
              <w:tab/>
            </w:r>
            <w:r w:rsidRPr="00CF332C">
              <w:rPr>
                <w:rFonts w:ascii="標楷體" w:eastAsia="標楷體" w:hAnsi="標楷體" w:cs="細明體" w:hint="eastAsia"/>
                <w:color w:val="000000"/>
                <w:kern w:val="0"/>
                <w:szCs w:val="24"/>
              </w:rPr>
              <w:t>依證券投資信託基金管理辦法募集指數股票型基金之證券投資信託事業（以下簡稱投信事業）</w:t>
            </w:r>
            <w:r w:rsidRPr="00CF332C">
              <w:rPr>
                <w:rFonts w:ascii="標楷體" w:eastAsia="標楷體" w:hAnsi="標楷體" w:cs="細明體" w:hint="eastAsia"/>
                <w:color w:val="000000"/>
                <w:kern w:val="0"/>
                <w:szCs w:val="24"/>
                <w:u w:val="single"/>
              </w:rPr>
              <w:t>應</w:t>
            </w:r>
            <w:r w:rsidRPr="00CF332C">
              <w:rPr>
                <w:rFonts w:ascii="標楷體" w:eastAsia="標楷體" w:hAnsi="標楷體" w:cs="細明體" w:hint="eastAsia"/>
                <w:color w:val="000000"/>
                <w:kern w:val="0"/>
                <w:szCs w:val="24"/>
              </w:rPr>
              <w:t>選定符合第</w:t>
            </w:r>
            <w:bookmarkStart w:id="0" w:name="_GoBack"/>
            <w:bookmarkEnd w:id="0"/>
            <w:r w:rsidRPr="00CF332C">
              <w:rPr>
                <w:rFonts w:ascii="標楷體" w:eastAsia="標楷體" w:hAnsi="標楷體" w:cs="細明體" w:hint="eastAsia"/>
                <w:color w:val="000000"/>
                <w:kern w:val="0"/>
                <w:szCs w:val="24"/>
              </w:rPr>
              <w:t>肆點條件者為指數股票型基金受益憑證之流動量提供者。</w:t>
            </w:r>
          </w:p>
        </w:tc>
        <w:tc>
          <w:tcPr>
            <w:tcW w:w="3861" w:type="dxa"/>
          </w:tcPr>
          <w:p w:rsidR="00F019EE" w:rsidRPr="00DB7EF8" w:rsidRDefault="00CF332C" w:rsidP="006B6EB9">
            <w:pPr>
              <w:widowControl/>
              <w:tabs>
                <w:tab w:val="left" w:leader="underscore" w:pos="496"/>
              </w:tabs>
              <w:ind w:left="480" w:hangingChars="200" w:hanging="480"/>
              <w:jc w:val="both"/>
              <w:rPr>
                <w:rFonts w:ascii="Times New Roman" w:eastAsia="標楷體" w:hAnsi="Times New Roman" w:cs="新細明體"/>
                <w:bCs/>
                <w:kern w:val="0"/>
                <w:szCs w:val="24"/>
              </w:rPr>
            </w:pPr>
            <w:r>
              <w:rPr>
                <w:rFonts w:ascii="標楷體" w:eastAsia="標楷體" w:hAnsi="標楷體" w:cs="細明體" w:hint="eastAsia"/>
                <w:color w:val="000000"/>
                <w:kern w:val="0"/>
                <w:szCs w:val="24"/>
              </w:rPr>
              <w:t>貳</w:t>
            </w:r>
            <w:r w:rsidR="00DB7EF8">
              <w:rPr>
                <w:rFonts w:ascii="標楷體" w:eastAsia="標楷體" w:hAnsi="標楷體" w:cs="細明體" w:hint="eastAsia"/>
                <w:color w:val="000000"/>
                <w:kern w:val="0"/>
                <w:szCs w:val="24"/>
              </w:rPr>
              <w:t>、</w:t>
            </w:r>
            <w:r w:rsidR="006B6EB9">
              <w:rPr>
                <w:rFonts w:ascii="標楷體" w:eastAsia="標楷體" w:hAnsi="標楷體" w:cs="細明體"/>
                <w:color w:val="000000"/>
                <w:kern w:val="0"/>
                <w:szCs w:val="24"/>
              </w:rPr>
              <w:tab/>
            </w:r>
            <w:r w:rsidRPr="00CF332C">
              <w:rPr>
                <w:rFonts w:ascii="標楷體" w:eastAsia="標楷體" w:hAnsi="標楷體" w:cs="細明體" w:hint="eastAsia"/>
                <w:color w:val="000000"/>
                <w:kern w:val="0"/>
                <w:szCs w:val="24"/>
              </w:rPr>
              <w:t>依證券投資信託基金管理辦法募集指數股票型基金之證券投資信託事業（以下簡稱投信事業）</w:t>
            </w:r>
            <w:r w:rsidRPr="00E97B25">
              <w:rPr>
                <w:rFonts w:ascii="標楷體" w:eastAsia="標楷體" w:hAnsi="標楷體" w:cs="細明體" w:hint="eastAsia"/>
                <w:color w:val="FF0000"/>
                <w:kern w:val="0"/>
                <w:szCs w:val="24"/>
                <w:u w:val="single"/>
              </w:rPr>
              <w:t>得視業務需要，</w:t>
            </w:r>
            <w:r w:rsidRPr="00CF332C">
              <w:rPr>
                <w:rFonts w:ascii="標楷體" w:eastAsia="標楷體" w:hAnsi="標楷體" w:cs="細明體" w:hint="eastAsia"/>
                <w:color w:val="000000"/>
                <w:kern w:val="0"/>
                <w:szCs w:val="24"/>
              </w:rPr>
              <w:t>選定符合第肆點條件者為指數股票型基金受益憑證之流動量提供者。</w:t>
            </w:r>
          </w:p>
        </w:tc>
        <w:tc>
          <w:tcPr>
            <w:tcW w:w="2498" w:type="dxa"/>
          </w:tcPr>
          <w:p w:rsidR="00F019EE" w:rsidRPr="006A47D4" w:rsidRDefault="00CF332C" w:rsidP="00177373">
            <w:pPr>
              <w:widowControl/>
              <w:jc w:val="both"/>
              <w:rPr>
                <w:rFonts w:ascii="標楷體" w:eastAsia="標楷體" w:hAnsi="標楷體"/>
                <w:color w:val="000000"/>
              </w:rPr>
            </w:pPr>
            <w:r>
              <w:rPr>
                <w:rFonts w:eastAsia="標楷體" w:hint="eastAsia"/>
                <w:color w:val="000000"/>
              </w:rPr>
              <w:t>為增加</w:t>
            </w:r>
            <w:r w:rsidR="00177373">
              <w:rPr>
                <w:rFonts w:eastAsia="標楷體" w:hint="eastAsia"/>
                <w:color w:val="000000"/>
              </w:rPr>
              <w:t>上櫃指數股票型基金受益憑證</w:t>
            </w:r>
            <w:r>
              <w:rPr>
                <w:rFonts w:eastAsia="標楷體" w:hint="eastAsia"/>
                <w:color w:val="000000"/>
              </w:rPr>
              <w:t>之市場流動性</w:t>
            </w:r>
            <w:r w:rsidR="000638A8">
              <w:rPr>
                <w:rFonts w:ascii="標楷體" w:eastAsia="標楷體" w:hAnsi="標楷體" w:hint="eastAsia"/>
                <w:color w:val="000000"/>
              </w:rPr>
              <w:t>，規範發行人需選定流動</w:t>
            </w:r>
            <w:r>
              <w:rPr>
                <w:rFonts w:ascii="標楷體" w:eastAsia="標楷體" w:hAnsi="標楷體" w:hint="eastAsia"/>
                <w:color w:val="000000"/>
              </w:rPr>
              <w:t>量提供者</w:t>
            </w:r>
            <w:r w:rsidR="0040701C">
              <w:rPr>
                <w:rFonts w:eastAsia="標楷體" w:hint="eastAsia"/>
                <w:color w:val="000000"/>
              </w:rPr>
              <w:t>。</w:t>
            </w:r>
          </w:p>
        </w:tc>
      </w:tr>
      <w:tr w:rsidR="006A47D4" w:rsidRPr="00115230" w:rsidTr="008A587A">
        <w:trPr>
          <w:trHeight w:val="2239"/>
          <w:jc w:val="center"/>
        </w:trPr>
        <w:tc>
          <w:tcPr>
            <w:tcW w:w="3860" w:type="dxa"/>
          </w:tcPr>
          <w:p w:rsidR="001862E4" w:rsidRPr="00E97B25" w:rsidRDefault="001862E4" w:rsidP="00E97B25">
            <w:pPr>
              <w:widowControl/>
              <w:tabs>
                <w:tab w:val="left" w:leader="underscore" w:pos="496"/>
              </w:tabs>
              <w:ind w:left="48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陸之一、</w:t>
            </w:r>
            <w:r w:rsidR="008772DB" w:rsidRPr="00E97B25">
              <w:rPr>
                <w:rFonts w:ascii="標楷體" w:eastAsia="標楷體" w:hAnsi="標楷體" w:cs="細明體" w:hint="eastAsia"/>
                <w:color w:val="FF0000"/>
                <w:kern w:val="0"/>
                <w:szCs w:val="24"/>
                <w:u w:val="single"/>
              </w:rPr>
              <w:t>指數股票型基金</w:t>
            </w:r>
            <w:r w:rsidRPr="00E97B25">
              <w:rPr>
                <w:rFonts w:ascii="標楷體" w:eastAsia="標楷體" w:hAnsi="標楷體" w:cs="細明體" w:hint="eastAsia"/>
                <w:color w:val="FF0000"/>
                <w:kern w:val="0"/>
                <w:szCs w:val="24"/>
                <w:u w:val="single"/>
              </w:rPr>
              <w:t>受益憑證如連續三個月有以下市場行情揭示情事，本</w:t>
            </w:r>
            <w:r w:rsidR="008772DB" w:rsidRPr="00E97B25">
              <w:rPr>
                <w:rFonts w:ascii="標楷體" w:eastAsia="標楷體" w:hAnsi="標楷體" w:cs="細明體" w:hint="eastAsia"/>
                <w:color w:val="FF0000"/>
                <w:kern w:val="0"/>
                <w:szCs w:val="24"/>
                <w:u w:val="single"/>
              </w:rPr>
              <w:t>中心</w:t>
            </w:r>
            <w:r w:rsidRPr="00E97B25">
              <w:rPr>
                <w:rFonts w:ascii="標楷體" w:eastAsia="標楷體" w:hAnsi="標楷體" w:cs="細明體" w:hint="eastAsia"/>
                <w:color w:val="FF0000"/>
                <w:kern w:val="0"/>
                <w:szCs w:val="24"/>
                <w:u w:val="single"/>
              </w:rPr>
              <w:t>將通知發行</w:t>
            </w:r>
            <w:r w:rsidR="008772DB" w:rsidRPr="00E97B25">
              <w:rPr>
                <w:rFonts w:ascii="標楷體" w:eastAsia="標楷體" w:hAnsi="標楷體" w:cs="細明體" w:hint="eastAsia"/>
                <w:color w:val="FF0000"/>
                <w:kern w:val="0"/>
                <w:szCs w:val="24"/>
                <w:u w:val="single"/>
              </w:rPr>
              <w:t>指數股票型基金</w:t>
            </w:r>
            <w:r w:rsidRPr="00E97B25">
              <w:rPr>
                <w:rFonts w:ascii="標楷體" w:eastAsia="標楷體" w:hAnsi="標楷體" w:cs="細明體" w:hint="eastAsia"/>
                <w:color w:val="FF0000"/>
                <w:kern w:val="0"/>
                <w:szCs w:val="24"/>
                <w:u w:val="single"/>
              </w:rPr>
              <w:t>受益憑證之投信事業於通知後次月起二個月內改善；未於期限內改善者，本</w:t>
            </w:r>
            <w:r w:rsidR="008772DB" w:rsidRPr="00E97B25">
              <w:rPr>
                <w:rFonts w:ascii="標楷體" w:eastAsia="標楷體" w:hAnsi="標楷體" w:cs="細明體" w:hint="eastAsia"/>
                <w:color w:val="FF0000"/>
                <w:kern w:val="0"/>
                <w:szCs w:val="24"/>
                <w:u w:val="single"/>
              </w:rPr>
              <w:t>中心</w:t>
            </w:r>
            <w:r w:rsidRPr="00E97B25">
              <w:rPr>
                <w:rFonts w:ascii="標楷體" w:eastAsia="標楷體" w:hAnsi="標楷體" w:cs="細明體" w:hint="eastAsia"/>
                <w:color w:val="FF0000"/>
                <w:kern w:val="0"/>
                <w:szCs w:val="24"/>
                <w:u w:val="single"/>
              </w:rPr>
              <w:t>將發函警告，自次月起二個月內仍未改善，視為違反</w:t>
            </w:r>
            <w:r w:rsidR="00EB1FFE" w:rsidRPr="00E97B25">
              <w:rPr>
                <w:rFonts w:ascii="標楷體" w:eastAsia="標楷體" w:hAnsi="標楷體" w:cs="細明體" w:hint="eastAsia"/>
                <w:color w:val="FF0000"/>
                <w:kern w:val="0"/>
                <w:szCs w:val="24"/>
                <w:u w:val="single"/>
              </w:rPr>
              <w:t>指數股票型基金</w:t>
            </w:r>
            <w:r w:rsidR="008772DB" w:rsidRPr="00E97B25">
              <w:rPr>
                <w:rFonts w:ascii="標楷體" w:eastAsia="標楷體" w:hAnsi="標楷體" w:cs="細明體" w:hint="eastAsia"/>
                <w:color w:val="FF0000"/>
                <w:kern w:val="0"/>
                <w:szCs w:val="24"/>
                <w:u w:val="single"/>
              </w:rPr>
              <w:t>受益憑證櫃檯買賣</w:t>
            </w:r>
            <w:r w:rsidRPr="00E97B25">
              <w:rPr>
                <w:rFonts w:ascii="標楷體" w:eastAsia="標楷體" w:hAnsi="標楷體" w:cs="細明體" w:hint="eastAsia"/>
                <w:color w:val="FF0000"/>
                <w:kern w:val="0"/>
                <w:szCs w:val="24"/>
                <w:u w:val="single"/>
              </w:rPr>
              <w:t>契約，本</w:t>
            </w:r>
            <w:r w:rsidR="008772DB" w:rsidRPr="00E97B25">
              <w:rPr>
                <w:rFonts w:ascii="標楷體" w:eastAsia="標楷體" w:hAnsi="標楷體" w:cs="細明體" w:hint="eastAsia"/>
                <w:color w:val="FF0000"/>
                <w:kern w:val="0"/>
                <w:szCs w:val="24"/>
                <w:u w:val="single"/>
              </w:rPr>
              <w:t>中心</w:t>
            </w:r>
            <w:r w:rsidRPr="00E97B25">
              <w:rPr>
                <w:rFonts w:ascii="標楷體" w:eastAsia="標楷體" w:hAnsi="標楷體" w:cs="細明體" w:hint="eastAsia"/>
                <w:color w:val="FF0000"/>
                <w:kern w:val="0"/>
                <w:szCs w:val="24"/>
                <w:u w:val="single"/>
              </w:rPr>
              <w:t>對該投信事業課以新臺幣</w:t>
            </w:r>
            <w:proofErr w:type="gramStart"/>
            <w:r w:rsidRPr="00E97B25">
              <w:rPr>
                <w:rFonts w:ascii="標楷體" w:eastAsia="標楷體" w:hAnsi="標楷體" w:cs="細明體" w:hint="eastAsia"/>
                <w:color w:val="FF0000"/>
                <w:kern w:val="0"/>
                <w:szCs w:val="24"/>
                <w:u w:val="single"/>
              </w:rPr>
              <w:t>三</w:t>
            </w:r>
            <w:proofErr w:type="gramEnd"/>
            <w:r w:rsidRPr="00E97B25">
              <w:rPr>
                <w:rFonts w:ascii="標楷體" w:eastAsia="標楷體" w:hAnsi="標楷體" w:cs="細明體" w:hint="eastAsia"/>
                <w:color w:val="FF0000"/>
                <w:kern w:val="0"/>
                <w:szCs w:val="24"/>
                <w:u w:val="single"/>
              </w:rPr>
              <w:t>萬元之違約金，且每三</w:t>
            </w:r>
            <w:proofErr w:type="gramStart"/>
            <w:r w:rsidRPr="00E97B25">
              <w:rPr>
                <w:rFonts w:ascii="標楷體" w:eastAsia="標楷體" w:hAnsi="標楷體" w:cs="細明體" w:hint="eastAsia"/>
                <w:color w:val="FF0000"/>
                <w:kern w:val="0"/>
                <w:szCs w:val="24"/>
                <w:u w:val="single"/>
              </w:rPr>
              <w:t>個</w:t>
            </w:r>
            <w:proofErr w:type="gramEnd"/>
            <w:r w:rsidRPr="00E97B25">
              <w:rPr>
                <w:rFonts w:ascii="標楷體" w:eastAsia="標楷體" w:hAnsi="標楷體" w:cs="細明體" w:hint="eastAsia"/>
                <w:color w:val="FF0000"/>
                <w:kern w:val="0"/>
                <w:szCs w:val="24"/>
                <w:u w:val="single"/>
              </w:rPr>
              <w:t>月查處一次並得連續處分至改善為止。</w:t>
            </w:r>
          </w:p>
          <w:p w:rsidR="001862E4" w:rsidRPr="00E97B25" w:rsidRDefault="001862E4" w:rsidP="00E97B25">
            <w:pPr>
              <w:widowControl/>
              <w:tabs>
                <w:tab w:val="left" w:leader="underscore" w:pos="531"/>
              </w:tabs>
              <w:ind w:leftChars="200" w:left="480" w:firstLineChars="200" w:firstLine="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國內成分</w:t>
            </w:r>
            <w:r w:rsidR="003A6E28" w:rsidRPr="00E97B25">
              <w:rPr>
                <w:rFonts w:ascii="標楷體" w:eastAsia="標楷體" w:hAnsi="標楷體" w:cs="細明體" w:hint="eastAsia"/>
                <w:color w:val="FF0000"/>
                <w:kern w:val="0"/>
                <w:szCs w:val="24"/>
                <w:u w:val="single"/>
              </w:rPr>
              <w:t>股</w:t>
            </w:r>
            <w:r w:rsidRPr="00E97B25">
              <w:rPr>
                <w:rFonts w:ascii="標楷體" w:eastAsia="標楷體" w:hAnsi="標楷體" w:cs="細明體" w:hint="eastAsia"/>
                <w:color w:val="FF0000"/>
                <w:kern w:val="0"/>
                <w:szCs w:val="24"/>
                <w:u w:val="single"/>
              </w:rPr>
              <w:t>指數股票型基金受益憑證，其於開市前三十分鐘至收市之市場行情揭示（含開市前及收市前一段時間試算買賣揭示價格），每月分別不得有下列情事超過二次：</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一、揭示價格除漲停買進或跌停賣出者外，市場行情揭示僅有買進或賣出揭示價格且持續逾三分鐘。</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二、最佳一檔買賣價差大於百分之一且持續逾十分鐘。</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三、遇有本</w:t>
            </w:r>
            <w:r w:rsidR="00D15DAA" w:rsidRPr="00E97B25">
              <w:rPr>
                <w:rFonts w:ascii="標楷體" w:eastAsia="標楷體" w:hAnsi="標楷體" w:cs="細明體" w:hint="eastAsia"/>
                <w:color w:val="FF0000"/>
                <w:kern w:val="0"/>
                <w:szCs w:val="24"/>
                <w:u w:val="single"/>
              </w:rPr>
              <w:t>中心業務規則</w:t>
            </w:r>
            <w:r w:rsidRPr="00E97B25">
              <w:rPr>
                <w:rFonts w:ascii="標楷體" w:eastAsia="標楷體" w:hAnsi="標楷體" w:cs="細明體" w:hint="eastAsia"/>
                <w:color w:val="FF0000"/>
                <w:kern w:val="0"/>
                <w:szCs w:val="24"/>
                <w:u w:val="single"/>
              </w:rPr>
              <w:t>第</w:t>
            </w:r>
            <w:r w:rsidR="00D15DAA" w:rsidRPr="00E97B25">
              <w:rPr>
                <w:rFonts w:ascii="標楷體" w:eastAsia="標楷體" w:hAnsi="標楷體" w:cs="細明體" w:hint="eastAsia"/>
                <w:color w:val="FF0000"/>
                <w:kern w:val="0"/>
                <w:szCs w:val="24"/>
                <w:u w:val="single"/>
              </w:rPr>
              <w:t>三十五</w:t>
            </w:r>
            <w:r w:rsidRPr="00E97B25">
              <w:rPr>
                <w:rFonts w:ascii="標楷體" w:eastAsia="標楷體" w:hAnsi="標楷體" w:cs="細明體" w:hint="eastAsia"/>
                <w:color w:val="FF0000"/>
                <w:kern w:val="0"/>
                <w:szCs w:val="24"/>
                <w:u w:val="single"/>
              </w:rPr>
              <w:t>條第四項及第</w:t>
            </w:r>
            <w:r w:rsidR="00D15DAA" w:rsidRPr="00E97B25">
              <w:rPr>
                <w:rFonts w:ascii="標楷體" w:eastAsia="標楷體" w:hAnsi="標楷體" w:cs="細明體" w:hint="eastAsia"/>
                <w:color w:val="FF0000"/>
                <w:kern w:val="0"/>
                <w:szCs w:val="24"/>
                <w:u w:val="single"/>
              </w:rPr>
              <w:t>三十五條之十一</w:t>
            </w:r>
            <w:r w:rsidRPr="00E97B25">
              <w:rPr>
                <w:rFonts w:ascii="標楷體" w:eastAsia="標楷體" w:hAnsi="標楷體" w:cs="細明體" w:hint="eastAsia"/>
                <w:color w:val="FF0000"/>
                <w:kern w:val="0"/>
                <w:szCs w:val="24"/>
                <w:u w:val="single"/>
              </w:rPr>
              <w:t>情事，須延緩撮合時間時，得排除前述時間之計算。</w:t>
            </w:r>
          </w:p>
          <w:p w:rsidR="001862E4" w:rsidRPr="00E97B25" w:rsidRDefault="001862E4" w:rsidP="00E97B25">
            <w:pPr>
              <w:widowControl/>
              <w:tabs>
                <w:tab w:val="left" w:leader="underscore" w:pos="531"/>
              </w:tabs>
              <w:ind w:leftChars="200" w:left="480" w:firstLineChars="200" w:firstLine="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國外成分</w:t>
            </w:r>
            <w:r w:rsidR="003A6E28" w:rsidRPr="00E97B25">
              <w:rPr>
                <w:rFonts w:ascii="標楷體" w:eastAsia="標楷體" w:hAnsi="標楷體" w:cs="細明體" w:hint="eastAsia"/>
                <w:color w:val="FF0000"/>
                <w:kern w:val="0"/>
                <w:szCs w:val="24"/>
                <w:u w:val="single"/>
              </w:rPr>
              <w:t>股</w:t>
            </w:r>
            <w:r w:rsidR="00EA3A4D" w:rsidRPr="00E97B25">
              <w:rPr>
                <w:rFonts w:ascii="標楷體" w:eastAsia="標楷體" w:hAnsi="標楷體" w:cs="細明體" w:hint="eastAsia"/>
                <w:color w:val="FF0000"/>
                <w:kern w:val="0"/>
                <w:szCs w:val="24"/>
                <w:u w:val="single"/>
              </w:rPr>
              <w:t>及債券成分</w:t>
            </w:r>
            <w:r w:rsidRPr="00E97B25">
              <w:rPr>
                <w:rFonts w:ascii="標楷體" w:eastAsia="標楷體" w:hAnsi="標楷體" w:cs="細明體" w:hint="eastAsia"/>
                <w:color w:val="FF0000"/>
                <w:kern w:val="0"/>
                <w:szCs w:val="24"/>
                <w:u w:val="single"/>
              </w:rPr>
              <w:t>指數股票型基金受益憑證，其於</w:t>
            </w:r>
            <w:r w:rsidRPr="00E97B25">
              <w:rPr>
                <w:rFonts w:ascii="標楷體" w:eastAsia="標楷體" w:hAnsi="標楷體" w:cs="細明體" w:hint="eastAsia"/>
                <w:color w:val="FF0000"/>
                <w:kern w:val="0"/>
                <w:szCs w:val="24"/>
                <w:u w:val="single"/>
              </w:rPr>
              <w:lastRenderedPageBreak/>
              <w:t>開市前三十分鐘至收市之市場行情揭示（含開市前及收市前一段時間試算買賣揭示價格）每月合計不得有下列情事超過六次：</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一、揭示價格除漲停買進或跌停賣出者外，市場行情揭示僅有買進或賣出揭示價格且持續逾十分鐘。</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二、最佳一檔買賣價差大於百分之三且持續逾十分鐘。</w:t>
            </w:r>
          </w:p>
          <w:p w:rsidR="001862E4" w:rsidRPr="00E97B25" w:rsidRDefault="001862E4" w:rsidP="00E97B25">
            <w:pPr>
              <w:widowControl/>
              <w:spacing w:line="280" w:lineRule="atLeast"/>
              <w:ind w:leftChars="200" w:left="960" w:hangingChars="200" w:hanging="480"/>
              <w:jc w:val="both"/>
              <w:rPr>
                <w:rFonts w:ascii="標楷體" w:eastAsia="標楷體" w:hAnsi="標楷體" w:cs="細明體"/>
                <w:color w:val="FF0000"/>
                <w:kern w:val="0"/>
                <w:szCs w:val="24"/>
                <w:u w:val="single"/>
              </w:rPr>
            </w:pPr>
            <w:r w:rsidRPr="00E97B25">
              <w:rPr>
                <w:rFonts w:ascii="標楷體" w:eastAsia="標楷體" w:hAnsi="標楷體" w:cs="細明體" w:hint="eastAsia"/>
                <w:color w:val="FF0000"/>
                <w:kern w:val="0"/>
                <w:szCs w:val="24"/>
                <w:u w:val="single"/>
              </w:rPr>
              <w:t>三、遇有</w:t>
            </w:r>
            <w:r w:rsidR="00D509C2" w:rsidRPr="00E97B25">
              <w:rPr>
                <w:rFonts w:ascii="標楷體" w:eastAsia="標楷體" w:hAnsi="標楷體" w:cs="細明體" w:hint="eastAsia"/>
                <w:color w:val="FF0000"/>
                <w:kern w:val="0"/>
                <w:szCs w:val="24"/>
                <w:u w:val="single"/>
              </w:rPr>
              <w:t>本中心業務規則</w:t>
            </w:r>
            <w:r w:rsidR="00D15DAA" w:rsidRPr="00E97B25">
              <w:rPr>
                <w:rFonts w:ascii="標楷體" w:eastAsia="標楷體" w:hAnsi="標楷體" w:cs="細明體" w:hint="eastAsia"/>
                <w:color w:val="FF0000"/>
                <w:kern w:val="0"/>
                <w:szCs w:val="24"/>
                <w:u w:val="single"/>
              </w:rPr>
              <w:t>第三十五條第四項及第三十五條之十一情事，</w:t>
            </w:r>
            <w:r w:rsidRPr="00E97B25">
              <w:rPr>
                <w:rFonts w:ascii="標楷體" w:eastAsia="標楷體" w:hAnsi="標楷體" w:cs="細明體" w:hint="eastAsia"/>
                <w:color w:val="FF0000"/>
                <w:kern w:val="0"/>
                <w:szCs w:val="24"/>
                <w:u w:val="single"/>
              </w:rPr>
              <w:t>須延緩撮合時間，得排除前述次數之計算。</w:t>
            </w:r>
          </w:p>
          <w:p w:rsidR="006A47D4" w:rsidRPr="00D15DAA" w:rsidRDefault="001862E4" w:rsidP="00E97B25">
            <w:pPr>
              <w:widowControl/>
              <w:spacing w:line="280" w:lineRule="atLeast"/>
              <w:ind w:leftChars="200" w:left="960" w:hangingChars="200" w:hanging="480"/>
              <w:jc w:val="both"/>
              <w:rPr>
                <w:rFonts w:ascii="標楷體" w:eastAsia="標楷體" w:hAnsi="標楷體" w:cs="細明體"/>
                <w:color w:val="000000"/>
                <w:kern w:val="0"/>
                <w:szCs w:val="24"/>
              </w:rPr>
            </w:pPr>
            <w:r w:rsidRPr="00E97B25">
              <w:rPr>
                <w:rFonts w:ascii="標楷體" w:eastAsia="標楷體" w:hAnsi="標楷體" w:cs="細明體" w:hint="eastAsia"/>
                <w:color w:val="FF0000"/>
                <w:kern w:val="0"/>
                <w:szCs w:val="24"/>
                <w:u w:val="single"/>
              </w:rPr>
              <w:t>四、國外成分</w:t>
            </w:r>
            <w:r w:rsidR="003A6E28" w:rsidRPr="00E97B25">
              <w:rPr>
                <w:rFonts w:ascii="標楷體" w:eastAsia="標楷體" w:hAnsi="標楷體" w:cs="細明體" w:hint="eastAsia"/>
                <w:color w:val="FF0000"/>
                <w:kern w:val="0"/>
                <w:szCs w:val="24"/>
                <w:u w:val="single"/>
              </w:rPr>
              <w:t>股</w:t>
            </w:r>
            <w:r w:rsidR="00EA3A4D" w:rsidRPr="00E97B25">
              <w:rPr>
                <w:rFonts w:ascii="標楷體" w:eastAsia="標楷體" w:hAnsi="標楷體" w:cs="細明體" w:hint="eastAsia"/>
                <w:color w:val="FF0000"/>
                <w:kern w:val="0"/>
                <w:szCs w:val="24"/>
                <w:u w:val="single"/>
              </w:rPr>
              <w:t>及債券成分</w:t>
            </w:r>
            <w:r w:rsidRPr="00E97B25">
              <w:rPr>
                <w:rFonts w:ascii="標楷體" w:eastAsia="標楷體" w:hAnsi="標楷體" w:cs="細明體" w:hint="eastAsia"/>
                <w:color w:val="FF0000"/>
                <w:kern w:val="0"/>
                <w:szCs w:val="24"/>
                <w:u w:val="single"/>
              </w:rPr>
              <w:t>指數股票型基金之標的指數成分</w:t>
            </w:r>
            <w:r w:rsidR="00EA3A4D" w:rsidRPr="00E97B25">
              <w:rPr>
                <w:rFonts w:ascii="標楷體" w:eastAsia="標楷體" w:hAnsi="標楷體" w:cs="細明體" w:hint="eastAsia"/>
                <w:color w:val="FF0000"/>
                <w:kern w:val="0"/>
                <w:szCs w:val="24"/>
                <w:u w:val="single"/>
              </w:rPr>
              <w:t>證券</w:t>
            </w:r>
            <w:r w:rsidRPr="00E97B25">
              <w:rPr>
                <w:rFonts w:ascii="標楷體" w:eastAsia="標楷體" w:hAnsi="標楷體" w:cs="細明體" w:hint="eastAsia"/>
                <w:color w:val="FF0000"/>
                <w:kern w:val="0"/>
                <w:szCs w:val="24"/>
                <w:u w:val="single"/>
              </w:rPr>
              <w:t>，其國外有價證券流通市場休市時，該國外成分</w:t>
            </w:r>
            <w:r w:rsidR="003A6E28" w:rsidRPr="00E97B25">
              <w:rPr>
                <w:rFonts w:ascii="標楷體" w:eastAsia="標楷體" w:hAnsi="標楷體" w:cs="細明體" w:hint="eastAsia"/>
                <w:color w:val="FF0000"/>
                <w:kern w:val="0"/>
                <w:szCs w:val="24"/>
                <w:u w:val="single"/>
              </w:rPr>
              <w:t>股</w:t>
            </w:r>
            <w:r w:rsidR="00EA3A4D" w:rsidRPr="00E97B25">
              <w:rPr>
                <w:rFonts w:ascii="標楷體" w:eastAsia="標楷體" w:hAnsi="標楷體" w:cs="細明體" w:hint="eastAsia"/>
                <w:color w:val="FF0000"/>
                <w:kern w:val="0"/>
                <w:szCs w:val="24"/>
                <w:u w:val="single"/>
              </w:rPr>
              <w:t>及債券成分</w:t>
            </w:r>
            <w:r w:rsidRPr="00E97B25">
              <w:rPr>
                <w:rFonts w:ascii="標楷體" w:eastAsia="標楷體" w:hAnsi="標楷體" w:cs="細明體" w:hint="eastAsia"/>
                <w:color w:val="FF0000"/>
                <w:kern w:val="0"/>
                <w:szCs w:val="24"/>
                <w:u w:val="single"/>
              </w:rPr>
              <w:t>指數股票型基金受益憑證當日市場行情揭示排除前述次數之計算。</w:t>
            </w:r>
          </w:p>
        </w:tc>
        <w:tc>
          <w:tcPr>
            <w:tcW w:w="3861" w:type="dxa"/>
          </w:tcPr>
          <w:p w:rsidR="006A47D4" w:rsidRPr="00E97B25" w:rsidRDefault="00D15DAA" w:rsidP="00D15DAA">
            <w:pPr>
              <w:widowControl/>
              <w:ind w:left="480" w:hangingChars="200" w:hanging="480"/>
              <w:jc w:val="center"/>
              <w:rPr>
                <w:rFonts w:ascii="標楷體" w:eastAsia="標楷體" w:hAnsi="標楷體" w:cs="細明體"/>
                <w:color w:val="000000"/>
                <w:kern w:val="0"/>
                <w:szCs w:val="24"/>
              </w:rPr>
            </w:pPr>
            <w:r w:rsidRPr="00E97B25">
              <w:rPr>
                <w:rFonts w:ascii="標楷體" w:eastAsia="標楷體" w:hAnsi="標楷體" w:cs="細明體" w:hint="eastAsia"/>
                <w:color w:val="FF0000"/>
                <w:kern w:val="0"/>
                <w:szCs w:val="24"/>
              </w:rPr>
              <w:lastRenderedPageBreak/>
              <w:t>(本點新增)</w:t>
            </w:r>
          </w:p>
        </w:tc>
        <w:tc>
          <w:tcPr>
            <w:tcW w:w="2498" w:type="dxa"/>
          </w:tcPr>
          <w:p w:rsidR="006A47D4" w:rsidRDefault="00D15DAA" w:rsidP="00D15DAA">
            <w:pPr>
              <w:widowControl/>
              <w:jc w:val="both"/>
              <w:rPr>
                <w:rFonts w:eastAsia="標楷體"/>
                <w:color w:val="000000"/>
              </w:rPr>
            </w:pPr>
            <w:r>
              <w:rPr>
                <w:rFonts w:eastAsia="標楷體" w:hint="eastAsia"/>
                <w:color w:val="000000"/>
              </w:rPr>
              <w:t>新增指數股票型基金受益憑證之流動量提供者基本報價義務及未能符合時之處理方式</w:t>
            </w:r>
            <w:r>
              <w:rPr>
                <w:rFonts w:ascii="標楷體" w:eastAsia="標楷體" w:hAnsi="標楷體" w:hint="eastAsia"/>
                <w:color w:val="000000"/>
              </w:rPr>
              <w:t>。</w:t>
            </w:r>
          </w:p>
        </w:tc>
      </w:tr>
    </w:tbl>
    <w:p w:rsidR="005755A7" w:rsidRPr="000638A8" w:rsidRDefault="005755A7" w:rsidP="00CF5805">
      <w:pPr>
        <w:snapToGrid w:val="0"/>
        <w:rPr>
          <w:rFonts w:ascii="標楷體" w:eastAsia="標楷體" w:hAnsi="標楷體"/>
        </w:rPr>
      </w:pPr>
    </w:p>
    <w:sectPr w:rsidR="005755A7" w:rsidRPr="000638A8" w:rsidSect="009426CC">
      <w:footerReference w:type="default" r:id="rId7"/>
      <w:pgSz w:w="11906" w:h="16838" w:code="9"/>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FA" w:rsidRDefault="004C3FFA" w:rsidP="009A322E">
      <w:r>
        <w:separator/>
      </w:r>
    </w:p>
  </w:endnote>
  <w:endnote w:type="continuationSeparator" w:id="0">
    <w:p w:rsidR="004C3FFA" w:rsidRDefault="004C3FFA"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BE" w:rsidRDefault="0046495A" w:rsidP="00C96FC6">
    <w:pPr>
      <w:pStyle w:val="a5"/>
      <w:jc w:val="center"/>
    </w:pPr>
    <w:r>
      <w:fldChar w:fldCharType="begin"/>
    </w:r>
    <w:r>
      <w:instrText xml:space="preserve"> PAGE   \* MERGEFORMAT </w:instrText>
    </w:r>
    <w:r>
      <w:fldChar w:fldCharType="separate"/>
    </w:r>
    <w:r w:rsidR="002B42C3" w:rsidRPr="002B42C3">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FA" w:rsidRDefault="004C3FFA" w:rsidP="009A322E">
      <w:r>
        <w:separator/>
      </w:r>
    </w:p>
  </w:footnote>
  <w:footnote w:type="continuationSeparator" w:id="0">
    <w:p w:rsidR="004C3FFA" w:rsidRDefault="004C3FFA"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9"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7"/>
  </w:num>
  <w:num w:numId="4">
    <w:abstractNumId w:val="9"/>
  </w:num>
  <w:num w:numId="5">
    <w:abstractNumId w:val="10"/>
  </w:num>
  <w:num w:numId="6">
    <w:abstractNumId w:val="6"/>
  </w:num>
  <w:num w:numId="7">
    <w:abstractNumId w:val="1"/>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43BF"/>
    <w:rsid w:val="00007173"/>
    <w:rsid w:val="00011EBA"/>
    <w:rsid w:val="000179E8"/>
    <w:rsid w:val="000253A1"/>
    <w:rsid w:val="00032A5A"/>
    <w:rsid w:val="00032FC2"/>
    <w:rsid w:val="000332B1"/>
    <w:rsid w:val="000372E5"/>
    <w:rsid w:val="00050AD8"/>
    <w:rsid w:val="000510AB"/>
    <w:rsid w:val="00055415"/>
    <w:rsid w:val="000567A1"/>
    <w:rsid w:val="00056A5F"/>
    <w:rsid w:val="00061FD2"/>
    <w:rsid w:val="00062510"/>
    <w:rsid w:val="000638A8"/>
    <w:rsid w:val="00066706"/>
    <w:rsid w:val="00070540"/>
    <w:rsid w:val="00072CF1"/>
    <w:rsid w:val="00074572"/>
    <w:rsid w:val="00075116"/>
    <w:rsid w:val="00077306"/>
    <w:rsid w:val="00081ECE"/>
    <w:rsid w:val="000831B3"/>
    <w:rsid w:val="00083B87"/>
    <w:rsid w:val="00086C24"/>
    <w:rsid w:val="00090147"/>
    <w:rsid w:val="00091D3E"/>
    <w:rsid w:val="00096211"/>
    <w:rsid w:val="00096695"/>
    <w:rsid w:val="000A1A0E"/>
    <w:rsid w:val="000A5806"/>
    <w:rsid w:val="000A6F52"/>
    <w:rsid w:val="000B6D60"/>
    <w:rsid w:val="000B6DDB"/>
    <w:rsid w:val="000C5475"/>
    <w:rsid w:val="000C5AD3"/>
    <w:rsid w:val="000D22EA"/>
    <w:rsid w:val="000D6CFE"/>
    <w:rsid w:val="000E425A"/>
    <w:rsid w:val="000F09E0"/>
    <w:rsid w:val="000F252A"/>
    <w:rsid w:val="000F59B8"/>
    <w:rsid w:val="000F7B5A"/>
    <w:rsid w:val="001034BC"/>
    <w:rsid w:val="00104A68"/>
    <w:rsid w:val="00106416"/>
    <w:rsid w:val="00115230"/>
    <w:rsid w:val="001159F9"/>
    <w:rsid w:val="00117319"/>
    <w:rsid w:val="0013022B"/>
    <w:rsid w:val="00131C46"/>
    <w:rsid w:val="001343DC"/>
    <w:rsid w:val="00137D60"/>
    <w:rsid w:val="001449A4"/>
    <w:rsid w:val="001460D9"/>
    <w:rsid w:val="00146C5C"/>
    <w:rsid w:val="0015074B"/>
    <w:rsid w:val="00152DA7"/>
    <w:rsid w:val="00161A79"/>
    <w:rsid w:val="001675A0"/>
    <w:rsid w:val="00176A60"/>
    <w:rsid w:val="00177373"/>
    <w:rsid w:val="0018049D"/>
    <w:rsid w:val="0018309C"/>
    <w:rsid w:val="00184A7E"/>
    <w:rsid w:val="001859CF"/>
    <w:rsid w:val="001862E4"/>
    <w:rsid w:val="00187BCB"/>
    <w:rsid w:val="001906D9"/>
    <w:rsid w:val="00192C19"/>
    <w:rsid w:val="00193556"/>
    <w:rsid w:val="001935D2"/>
    <w:rsid w:val="001974BF"/>
    <w:rsid w:val="001979D9"/>
    <w:rsid w:val="001A514A"/>
    <w:rsid w:val="001A5CA7"/>
    <w:rsid w:val="001B0CA8"/>
    <w:rsid w:val="001C0A76"/>
    <w:rsid w:val="001C283A"/>
    <w:rsid w:val="001C4CCC"/>
    <w:rsid w:val="001D4C90"/>
    <w:rsid w:val="001D53E3"/>
    <w:rsid w:val="001E0760"/>
    <w:rsid w:val="001E1219"/>
    <w:rsid w:val="001E235D"/>
    <w:rsid w:val="001E2E63"/>
    <w:rsid w:val="001F075E"/>
    <w:rsid w:val="001F1BAF"/>
    <w:rsid w:val="001F3EF4"/>
    <w:rsid w:val="001F5198"/>
    <w:rsid w:val="001F6B28"/>
    <w:rsid w:val="001F7D11"/>
    <w:rsid w:val="00202221"/>
    <w:rsid w:val="0020703F"/>
    <w:rsid w:val="00215BF3"/>
    <w:rsid w:val="00223297"/>
    <w:rsid w:val="00225BD6"/>
    <w:rsid w:val="00226A6C"/>
    <w:rsid w:val="0023016F"/>
    <w:rsid w:val="00232602"/>
    <w:rsid w:val="00235912"/>
    <w:rsid w:val="00243687"/>
    <w:rsid w:val="00247C6F"/>
    <w:rsid w:val="00250B3D"/>
    <w:rsid w:val="002516C5"/>
    <w:rsid w:val="002527FD"/>
    <w:rsid w:val="00254632"/>
    <w:rsid w:val="00256AB3"/>
    <w:rsid w:val="0026584E"/>
    <w:rsid w:val="00267E1C"/>
    <w:rsid w:val="00271565"/>
    <w:rsid w:val="002726BC"/>
    <w:rsid w:val="00275C70"/>
    <w:rsid w:val="00277D32"/>
    <w:rsid w:val="00277DCC"/>
    <w:rsid w:val="002837A0"/>
    <w:rsid w:val="00283D48"/>
    <w:rsid w:val="00292A3D"/>
    <w:rsid w:val="00293D4A"/>
    <w:rsid w:val="002940E5"/>
    <w:rsid w:val="002A00C8"/>
    <w:rsid w:val="002A69EC"/>
    <w:rsid w:val="002B1C1F"/>
    <w:rsid w:val="002B232C"/>
    <w:rsid w:val="002B42C3"/>
    <w:rsid w:val="002C49D2"/>
    <w:rsid w:val="002C5503"/>
    <w:rsid w:val="002C5A70"/>
    <w:rsid w:val="002C5EC9"/>
    <w:rsid w:val="002C7F15"/>
    <w:rsid w:val="002D083C"/>
    <w:rsid w:val="002D2897"/>
    <w:rsid w:val="002E107E"/>
    <w:rsid w:val="002F2787"/>
    <w:rsid w:val="002F2DC4"/>
    <w:rsid w:val="002F6F86"/>
    <w:rsid w:val="003044BC"/>
    <w:rsid w:val="00304EE1"/>
    <w:rsid w:val="0030500B"/>
    <w:rsid w:val="0031248E"/>
    <w:rsid w:val="00320BBE"/>
    <w:rsid w:val="00327AD3"/>
    <w:rsid w:val="00332228"/>
    <w:rsid w:val="00333FCB"/>
    <w:rsid w:val="00342AFF"/>
    <w:rsid w:val="00343584"/>
    <w:rsid w:val="0035144C"/>
    <w:rsid w:val="0035373C"/>
    <w:rsid w:val="00354FFD"/>
    <w:rsid w:val="003610D6"/>
    <w:rsid w:val="00361496"/>
    <w:rsid w:val="003618A1"/>
    <w:rsid w:val="00361CC5"/>
    <w:rsid w:val="00361E37"/>
    <w:rsid w:val="00370AD6"/>
    <w:rsid w:val="003711F4"/>
    <w:rsid w:val="0037308A"/>
    <w:rsid w:val="0037687A"/>
    <w:rsid w:val="00381066"/>
    <w:rsid w:val="00381989"/>
    <w:rsid w:val="00384797"/>
    <w:rsid w:val="00394BBD"/>
    <w:rsid w:val="00396FCF"/>
    <w:rsid w:val="00397298"/>
    <w:rsid w:val="00397C2F"/>
    <w:rsid w:val="003A4670"/>
    <w:rsid w:val="003A4702"/>
    <w:rsid w:val="003A6483"/>
    <w:rsid w:val="003A6E28"/>
    <w:rsid w:val="003B24C8"/>
    <w:rsid w:val="003C246B"/>
    <w:rsid w:val="003D1C41"/>
    <w:rsid w:val="003D4630"/>
    <w:rsid w:val="003D47E5"/>
    <w:rsid w:val="003D601D"/>
    <w:rsid w:val="003E17A5"/>
    <w:rsid w:val="003E21F1"/>
    <w:rsid w:val="003E4D82"/>
    <w:rsid w:val="003F109B"/>
    <w:rsid w:val="003F2741"/>
    <w:rsid w:val="003F2C75"/>
    <w:rsid w:val="003F5E50"/>
    <w:rsid w:val="003F6709"/>
    <w:rsid w:val="003F6957"/>
    <w:rsid w:val="003F6EE3"/>
    <w:rsid w:val="00400862"/>
    <w:rsid w:val="0040104A"/>
    <w:rsid w:val="0040137D"/>
    <w:rsid w:val="004020FC"/>
    <w:rsid w:val="004061D3"/>
    <w:rsid w:val="0040701C"/>
    <w:rsid w:val="004073B3"/>
    <w:rsid w:val="004073EF"/>
    <w:rsid w:val="00410A92"/>
    <w:rsid w:val="0041458A"/>
    <w:rsid w:val="00425DB5"/>
    <w:rsid w:val="00432069"/>
    <w:rsid w:val="00432696"/>
    <w:rsid w:val="00434214"/>
    <w:rsid w:val="004356FB"/>
    <w:rsid w:val="00436836"/>
    <w:rsid w:val="00442A0A"/>
    <w:rsid w:val="004436FE"/>
    <w:rsid w:val="004520C3"/>
    <w:rsid w:val="0045740D"/>
    <w:rsid w:val="00460327"/>
    <w:rsid w:val="00460B2F"/>
    <w:rsid w:val="00463112"/>
    <w:rsid w:val="0046495A"/>
    <w:rsid w:val="00466DAC"/>
    <w:rsid w:val="00474480"/>
    <w:rsid w:val="00481F54"/>
    <w:rsid w:val="00482F37"/>
    <w:rsid w:val="00483C2C"/>
    <w:rsid w:val="00490F9A"/>
    <w:rsid w:val="004930BB"/>
    <w:rsid w:val="004953A2"/>
    <w:rsid w:val="004B45A7"/>
    <w:rsid w:val="004B68B1"/>
    <w:rsid w:val="004C2EDF"/>
    <w:rsid w:val="004C3FFA"/>
    <w:rsid w:val="004C48B4"/>
    <w:rsid w:val="004C6904"/>
    <w:rsid w:val="004D0878"/>
    <w:rsid w:val="004D1E73"/>
    <w:rsid w:val="004D6327"/>
    <w:rsid w:val="004D72E5"/>
    <w:rsid w:val="004F1BE5"/>
    <w:rsid w:val="004F6C2A"/>
    <w:rsid w:val="004F6F7A"/>
    <w:rsid w:val="004F7287"/>
    <w:rsid w:val="004F76E5"/>
    <w:rsid w:val="00511A1E"/>
    <w:rsid w:val="00511B0C"/>
    <w:rsid w:val="00516A8C"/>
    <w:rsid w:val="00521FCF"/>
    <w:rsid w:val="005242A3"/>
    <w:rsid w:val="005247A8"/>
    <w:rsid w:val="00525E0C"/>
    <w:rsid w:val="00530FA8"/>
    <w:rsid w:val="00532EE9"/>
    <w:rsid w:val="0053314C"/>
    <w:rsid w:val="005346EE"/>
    <w:rsid w:val="005349B7"/>
    <w:rsid w:val="00534E32"/>
    <w:rsid w:val="00536B5A"/>
    <w:rsid w:val="00540C10"/>
    <w:rsid w:val="00542FCA"/>
    <w:rsid w:val="005473C8"/>
    <w:rsid w:val="00547B0D"/>
    <w:rsid w:val="00553F2F"/>
    <w:rsid w:val="00556C3C"/>
    <w:rsid w:val="0056094C"/>
    <w:rsid w:val="00563BF4"/>
    <w:rsid w:val="00567CD3"/>
    <w:rsid w:val="0057228A"/>
    <w:rsid w:val="00573295"/>
    <w:rsid w:val="005755A7"/>
    <w:rsid w:val="00576F16"/>
    <w:rsid w:val="005836B6"/>
    <w:rsid w:val="00586456"/>
    <w:rsid w:val="0059081D"/>
    <w:rsid w:val="00591E03"/>
    <w:rsid w:val="00593321"/>
    <w:rsid w:val="005972C1"/>
    <w:rsid w:val="005A0672"/>
    <w:rsid w:val="005A4F4B"/>
    <w:rsid w:val="005B239A"/>
    <w:rsid w:val="005C0B8D"/>
    <w:rsid w:val="005C188A"/>
    <w:rsid w:val="005C6EBB"/>
    <w:rsid w:val="005C7254"/>
    <w:rsid w:val="005C7264"/>
    <w:rsid w:val="005D2419"/>
    <w:rsid w:val="005E4F66"/>
    <w:rsid w:val="005F75C3"/>
    <w:rsid w:val="00602EB0"/>
    <w:rsid w:val="006151E4"/>
    <w:rsid w:val="006174A2"/>
    <w:rsid w:val="006176E1"/>
    <w:rsid w:val="00621EB1"/>
    <w:rsid w:val="00622149"/>
    <w:rsid w:val="006223D6"/>
    <w:rsid w:val="00627917"/>
    <w:rsid w:val="0063661B"/>
    <w:rsid w:val="00637E6B"/>
    <w:rsid w:val="00642F16"/>
    <w:rsid w:val="006469C9"/>
    <w:rsid w:val="00653FD9"/>
    <w:rsid w:val="00654E4A"/>
    <w:rsid w:val="0065593C"/>
    <w:rsid w:val="006563B1"/>
    <w:rsid w:val="00656691"/>
    <w:rsid w:val="006625E7"/>
    <w:rsid w:val="006639B6"/>
    <w:rsid w:val="006660B5"/>
    <w:rsid w:val="00667B47"/>
    <w:rsid w:val="00671714"/>
    <w:rsid w:val="00674686"/>
    <w:rsid w:val="00681602"/>
    <w:rsid w:val="00690BE1"/>
    <w:rsid w:val="00690C57"/>
    <w:rsid w:val="006952E9"/>
    <w:rsid w:val="00696BE0"/>
    <w:rsid w:val="006A2EB6"/>
    <w:rsid w:val="006A47D4"/>
    <w:rsid w:val="006A70F1"/>
    <w:rsid w:val="006B37CA"/>
    <w:rsid w:val="006B6EB9"/>
    <w:rsid w:val="006C2551"/>
    <w:rsid w:val="006C2D04"/>
    <w:rsid w:val="006C3008"/>
    <w:rsid w:val="006C3EC1"/>
    <w:rsid w:val="006C6015"/>
    <w:rsid w:val="006D0157"/>
    <w:rsid w:val="006D14D3"/>
    <w:rsid w:val="006D44EE"/>
    <w:rsid w:val="006D5033"/>
    <w:rsid w:val="006E2EC5"/>
    <w:rsid w:val="006E753A"/>
    <w:rsid w:val="006F1564"/>
    <w:rsid w:val="006F1F1C"/>
    <w:rsid w:val="006F2BCD"/>
    <w:rsid w:val="00702789"/>
    <w:rsid w:val="007058CE"/>
    <w:rsid w:val="0071237F"/>
    <w:rsid w:val="00715EFB"/>
    <w:rsid w:val="00717BF8"/>
    <w:rsid w:val="00720AE5"/>
    <w:rsid w:val="00724997"/>
    <w:rsid w:val="007274B6"/>
    <w:rsid w:val="007276EE"/>
    <w:rsid w:val="00727F17"/>
    <w:rsid w:val="00731760"/>
    <w:rsid w:val="00733CF7"/>
    <w:rsid w:val="00736745"/>
    <w:rsid w:val="0074193A"/>
    <w:rsid w:val="00745EBE"/>
    <w:rsid w:val="007473BC"/>
    <w:rsid w:val="00747DFC"/>
    <w:rsid w:val="0075054E"/>
    <w:rsid w:val="00757F7B"/>
    <w:rsid w:val="007629C6"/>
    <w:rsid w:val="00762BA0"/>
    <w:rsid w:val="00766E79"/>
    <w:rsid w:val="00771442"/>
    <w:rsid w:val="00772A8B"/>
    <w:rsid w:val="0077740E"/>
    <w:rsid w:val="0078242A"/>
    <w:rsid w:val="007834CA"/>
    <w:rsid w:val="007842E8"/>
    <w:rsid w:val="00784A2F"/>
    <w:rsid w:val="007919E1"/>
    <w:rsid w:val="007A46DD"/>
    <w:rsid w:val="007B2E79"/>
    <w:rsid w:val="007C0F48"/>
    <w:rsid w:val="007C0FDA"/>
    <w:rsid w:val="007C5B59"/>
    <w:rsid w:val="007C5BEB"/>
    <w:rsid w:val="007D3BD4"/>
    <w:rsid w:val="007D45EE"/>
    <w:rsid w:val="007D6C4C"/>
    <w:rsid w:val="007D6CDC"/>
    <w:rsid w:val="007D750B"/>
    <w:rsid w:val="007E0EA4"/>
    <w:rsid w:val="007F16F1"/>
    <w:rsid w:val="007F1B1F"/>
    <w:rsid w:val="007F75E2"/>
    <w:rsid w:val="008065E0"/>
    <w:rsid w:val="00824719"/>
    <w:rsid w:val="008307DF"/>
    <w:rsid w:val="008321DE"/>
    <w:rsid w:val="00836741"/>
    <w:rsid w:val="00863B51"/>
    <w:rsid w:val="008649BA"/>
    <w:rsid w:val="00864F69"/>
    <w:rsid w:val="00866F58"/>
    <w:rsid w:val="008718C4"/>
    <w:rsid w:val="00872CB2"/>
    <w:rsid w:val="00872F84"/>
    <w:rsid w:val="00873C7E"/>
    <w:rsid w:val="00876840"/>
    <w:rsid w:val="008772DB"/>
    <w:rsid w:val="008777E3"/>
    <w:rsid w:val="00884B56"/>
    <w:rsid w:val="00890A75"/>
    <w:rsid w:val="00892234"/>
    <w:rsid w:val="008939A9"/>
    <w:rsid w:val="008A2AA7"/>
    <w:rsid w:val="008A51EB"/>
    <w:rsid w:val="008A5256"/>
    <w:rsid w:val="008A587A"/>
    <w:rsid w:val="008A5C35"/>
    <w:rsid w:val="008B3E86"/>
    <w:rsid w:val="008C04A4"/>
    <w:rsid w:val="008C67E8"/>
    <w:rsid w:val="008D5989"/>
    <w:rsid w:val="008D7621"/>
    <w:rsid w:val="008E1812"/>
    <w:rsid w:val="008E4880"/>
    <w:rsid w:val="008E7764"/>
    <w:rsid w:val="008F2DA5"/>
    <w:rsid w:val="00901499"/>
    <w:rsid w:val="00903132"/>
    <w:rsid w:val="00904B88"/>
    <w:rsid w:val="00905FDF"/>
    <w:rsid w:val="00912553"/>
    <w:rsid w:val="00912779"/>
    <w:rsid w:val="00917870"/>
    <w:rsid w:val="0092169B"/>
    <w:rsid w:val="0092303F"/>
    <w:rsid w:val="00926D59"/>
    <w:rsid w:val="00927AB8"/>
    <w:rsid w:val="009426CC"/>
    <w:rsid w:val="00945F65"/>
    <w:rsid w:val="00955A32"/>
    <w:rsid w:val="009579B2"/>
    <w:rsid w:val="00960208"/>
    <w:rsid w:val="009602A7"/>
    <w:rsid w:val="00964A2F"/>
    <w:rsid w:val="00965C2F"/>
    <w:rsid w:val="009723F7"/>
    <w:rsid w:val="00972496"/>
    <w:rsid w:val="00972981"/>
    <w:rsid w:val="009778DD"/>
    <w:rsid w:val="00981417"/>
    <w:rsid w:val="009851F2"/>
    <w:rsid w:val="00986CFD"/>
    <w:rsid w:val="00987F6A"/>
    <w:rsid w:val="00992BE8"/>
    <w:rsid w:val="00994115"/>
    <w:rsid w:val="00994E06"/>
    <w:rsid w:val="00995BD1"/>
    <w:rsid w:val="00997BFF"/>
    <w:rsid w:val="009A322E"/>
    <w:rsid w:val="009A46CA"/>
    <w:rsid w:val="009A5474"/>
    <w:rsid w:val="009A6C56"/>
    <w:rsid w:val="009B4328"/>
    <w:rsid w:val="009C0189"/>
    <w:rsid w:val="009C0B19"/>
    <w:rsid w:val="009C24CC"/>
    <w:rsid w:val="009D04AB"/>
    <w:rsid w:val="009D08E8"/>
    <w:rsid w:val="009D0BBD"/>
    <w:rsid w:val="009D2202"/>
    <w:rsid w:val="009D53D3"/>
    <w:rsid w:val="009D68CC"/>
    <w:rsid w:val="009D70E3"/>
    <w:rsid w:val="009D7583"/>
    <w:rsid w:val="009E253D"/>
    <w:rsid w:val="009E6076"/>
    <w:rsid w:val="009E7008"/>
    <w:rsid w:val="009F4618"/>
    <w:rsid w:val="009F7319"/>
    <w:rsid w:val="00A10CB7"/>
    <w:rsid w:val="00A138FB"/>
    <w:rsid w:val="00A13D2D"/>
    <w:rsid w:val="00A1694A"/>
    <w:rsid w:val="00A22BE6"/>
    <w:rsid w:val="00A2708C"/>
    <w:rsid w:val="00A313A1"/>
    <w:rsid w:val="00A3207D"/>
    <w:rsid w:val="00A323BF"/>
    <w:rsid w:val="00A32D25"/>
    <w:rsid w:val="00A33937"/>
    <w:rsid w:val="00A407EA"/>
    <w:rsid w:val="00A41317"/>
    <w:rsid w:val="00A4173E"/>
    <w:rsid w:val="00A43372"/>
    <w:rsid w:val="00A43BBF"/>
    <w:rsid w:val="00A472A7"/>
    <w:rsid w:val="00A47AB8"/>
    <w:rsid w:val="00A532A6"/>
    <w:rsid w:val="00A60926"/>
    <w:rsid w:val="00A64F72"/>
    <w:rsid w:val="00A72B08"/>
    <w:rsid w:val="00A74814"/>
    <w:rsid w:val="00A7568F"/>
    <w:rsid w:val="00A76668"/>
    <w:rsid w:val="00A76C05"/>
    <w:rsid w:val="00A77440"/>
    <w:rsid w:val="00A77BBB"/>
    <w:rsid w:val="00A8568A"/>
    <w:rsid w:val="00A90008"/>
    <w:rsid w:val="00AA198B"/>
    <w:rsid w:val="00AA1FD2"/>
    <w:rsid w:val="00AA3BC2"/>
    <w:rsid w:val="00AA4FE3"/>
    <w:rsid w:val="00AB6BE0"/>
    <w:rsid w:val="00AC1C3E"/>
    <w:rsid w:val="00AC4F6A"/>
    <w:rsid w:val="00AC4FA8"/>
    <w:rsid w:val="00AD2A39"/>
    <w:rsid w:val="00AD47B5"/>
    <w:rsid w:val="00AD57BE"/>
    <w:rsid w:val="00AD5861"/>
    <w:rsid w:val="00AD6372"/>
    <w:rsid w:val="00AD6A5D"/>
    <w:rsid w:val="00AE0F61"/>
    <w:rsid w:val="00AE3DD4"/>
    <w:rsid w:val="00AE5E89"/>
    <w:rsid w:val="00AF0403"/>
    <w:rsid w:val="00AF2A4F"/>
    <w:rsid w:val="00AF4598"/>
    <w:rsid w:val="00AF55D9"/>
    <w:rsid w:val="00B03C33"/>
    <w:rsid w:val="00B0767B"/>
    <w:rsid w:val="00B1060B"/>
    <w:rsid w:val="00B119AC"/>
    <w:rsid w:val="00B14855"/>
    <w:rsid w:val="00B154D6"/>
    <w:rsid w:val="00B169E7"/>
    <w:rsid w:val="00B23535"/>
    <w:rsid w:val="00B27FD4"/>
    <w:rsid w:val="00B30A22"/>
    <w:rsid w:val="00B31149"/>
    <w:rsid w:val="00B311EA"/>
    <w:rsid w:val="00B3408D"/>
    <w:rsid w:val="00B35CCC"/>
    <w:rsid w:val="00B36F6A"/>
    <w:rsid w:val="00B46E28"/>
    <w:rsid w:val="00B50D67"/>
    <w:rsid w:val="00B50E8B"/>
    <w:rsid w:val="00B5349A"/>
    <w:rsid w:val="00B565A9"/>
    <w:rsid w:val="00B61939"/>
    <w:rsid w:val="00B66118"/>
    <w:rsid w:val="00B70617"/>
    <w:rsid w:val="00B70758"/>
    <w:rsid w:val="00B7086C"/>
    <w:rsid w:val="00B715D1"/>
    <w:rsid w:val="00B72E09"/>
    <w:rsid w:val="00B7717E"/>
    <w:rsid w:val="00B8137F"/>
    <w:rsid w:val="00B84A6C"/>
    <w:rsid w:val="00B863BE"/>
    <w:rsid w:val="00B877D7"/>
    <w:rsid w:val="00B92A45"/>
    <w:rsid w:val="00B95FC6"/>
    <w:rsid w:val="00B96C27"/>
    <w:rsid w:val="00BA0498"/>
    <w:rsid w:val="00BA0B2E"/>
    <w:rsid w:val="00BA0E4A"/>
    <w:rsid w:val="00BA1B83"/>
    <w:rsid w:val="00BB6931"/>
    <w:rsid w:val="00BB7E2C"/>
    <w:rsid w:val="00BC333B"/>
    <w:rsid w:val="00BC5B20"/>
    <w:rsid w:val="00BC6AEF"/>
    <w:rsid w:val="00BC71A4"/>
    <w:rsid w:val="00BD756C"/>
    <w:rsid w:val="00BE01EB"/>
    <w:rsid w:val="00BE1C0A"/>
    <w:rsid w:val="00BE47B4"/>
    <w:rsid w:val="00BF1AB8"/>
    <w:rsid w:val="00C0268C"/>
    <w:rsid w:val="00C05F86"/>
    <w:rsid w:val="00C0786D"/>
    <w:rsid w:val="00C1064F"/>
    <w:rsid w:val="00C12341"/>
    <w:rsid w:val="00C13C59"/>
    <w:rsid w:val="00C149DF"/>
    <w:rsid w:val="00C15416"/>
    <w:rsid w:val="00C16477"/>
    <w:rsid w:val="00C36785"/>
    <w:rsid w:val="00C373D5"/>
    <w:rsid w:val="00C37C47"/>
    <w:rsid w:val="00C43E1A"/>
    <w:rsid w:val="00C442CE"/>
    <w:rsid w:val="00C44604"/>
    <w:rsid w:val="00C44B5A"/>
    <w:rsid w:val="00C44FD2"/>
    <w:rsid w:val="00C478DD"/>
    <w:rsid w:val="00C51FD4"/>
    <w:rsid w:val="00C5240F"/>
    <w:rsid w:val="00C5288F"/>
    <w:rsid w:val="00C57604"/>
    <w:rsid w:val="00C64DE7"/>
    <w:rsid w:val="00C66F98"/>
    <w:rsid w:val="00C7581A"/>
    <w:rsid w:val="00C77295"/>
    <w:rsid w:val="00C7732B"/>
    <w:rsid w:val="00C82828"/>
    <w:rsid w:val="00C834BA"/>
    <w:rsid w:val="00C837FC"/>
    <w:rsid w:val="00C86A03"/>
    <w:rsid w:val="00C94CCB"/>
    <w:rsid w:val="00C9590B"/>
    <w:rsid w:val="00C96AC6"/>
    <w:rsid w:val="00C96FC6"/>
    <w:rsid w:val="00C97055"/>
    <w:rsid w:val="00CA22D5"/>
    <w:rsid w:val="00CB20FD"/>
    <w:rsid w:val="00CB21E8"/>
    <w:rsid w:val="00CB31B0"/>
    <w:rsid w:val="00CB5EFD"/>
    <w:rsid w:val="00CB744D"/>
    <w:rsid w:val="00CB7F8B"/>
    <w:rsid w:val="00CC6AF6"/>
    <w:rsid w:val="00CC75C4"/>
    <w:rsid w:val="00CD7C26"/>
    <w:rsid w:val="00CE0D31"/>
    <w:rsid w:val="00CE4BDC"/>
    <w:rsid w:val="00CE520E"/>
    <w:rsid w:val="00CE5A15"/>
    <w:rsid w:val="00CF2397"/>
    <w:rsid w:val="00CF26FF"/>
    <w:rsid w:val="00CF332C"/>
    <w:rsid w:val="00CF5805"/>
    <w:rsid w:val="00CF6221"/>
    <w:rsid w:val="00D039EF"/>
    <w:rsid w:val="00D04971"/>
    <w:rsid w:val="00D059F1"/>
    <w:rsid w:val="00D06500"/>
    <w:rsid w:val="00D130EC"/>
    <w:rsid w:val="00D15DAA"/>
    <w:rsid w:val="00D1649C"/>
    <w:rsid w:val="00D21914"/>
    <w:rsid w:val="00D223AD"/>
    <w:rsid w:val="00D3163C"/>
    <w:rsid w:val="00D320C5"/>
    <w:rsid w:val="00D33FE8"/>
    <w:rsid w:val="00D34827"/>
    <w:rsid w:val="00D36524"/>
    <w:rsid w:val="00D36F36"/>
    <w:rsid w:val="00D40438"/>
    <w:rsid w:val="00D4182B"/>
    <w:rsid w:val="00D43D4E"/>
    <w:rsid w:val="00D45643"/>
    <w:rsid w:val="00D462FA"/>
    <w:rsid w:val="00D464A0"/>
    <w:rsid w:val="00D509C2"/>
    <w:rsid w:val="00D513DE"/>
    <w:rsid w:val="00D5394D"/>
    <w:rsid w:val="00D55B68"/>
    <w:rsid w:val="00D57B6A"/>
    <w:rsid w:val="00D62677"/>
    <w:rsid w:val="00D63C74"/>
    <w:rsid w:val="00D64B0F"/>
    <w:rsid w:val="00D64BE6"/>
    <w:rsid w:val="00D6529E"/>
    <w:rsid w:val="00D733DF"/>
    <w:rsid w:val="00D75624"/>
    <w:rsid w:val="00D87551"/>
    <w:rsid w:val="00DA019C"/>
    <w:rsid w:val="00DA1DFC"/>
    <w:rsid w:val="00DA6A09"/>
    <w:rsid w:val="00DA7E00"/>
    <w:rsid w:val="00DB1CB9"/>
    <w:rsid w:val="00DB501D"/>
    <w:rsid w:val="00DB7EF8"/>
    <w:rsid w:val="00DD3333"/>
    <w:rsid w:val="00DD3CD3"/>
    <w:rsid w:val="00DD530B"/>
    <w:rsid w:val="00DD60E7"/>
    <w:rsid w:val="00DE12B9"/>
    <w:rsid w:val="00DE20E8"/>
    <w:rsid w:val="00DE358E"/>
    <w:rsid w:val="00DE543D"/>
    <w:rsid w:val="00DE5D27"/>
    <w:rsid w:val="00DF4486"/>
    <w:rsid w:val="00DF5C52"/>
    <w:rsid w:val="00E00534"/>
    <w:rsid w:val="00E039BC"/>
    <w:rsid w:val="00E04FF4"/>
    <w:rsid w:val="00E12F13"/>
    <w:rsid w:val="00E138FE"/>
    <w:rsid w:val="00E16F4C"/>
    <w:rsid w:val="00E2172C"/>
    <w:rsid w:val="00E26003"/>
    <w:rsid w:val="00E26826"/>
    <w:rsid w:val="00E31C04"/>
    <w:rsid w:val="00E322ED"/>
    <w:rsid w:val="00E32610"/>
    <w:rsid w:val="00E37000"/>
    <w:rsid w:val="00E37388"/>
    <w:rsid w:val="00E42BFF"/>
    <w:rsid w:val="00E44CC6"/>
    <w:rsid w:val="00E5319C"/>
    <w:rsid w:val="00E54F12"/>
    <w:rsid w:val="00E70B91"/>
    <w:rsid w:val="00E73DBB"/>
    <w:rsid w:val="00E81545"/>
    <w:rsid w:val="00E8710A"/>
    <w:rsid w:val="00E9317D"/>
    <w:rsid w:val="00E93436"/>
    <w:rsid w:val="00E9394B"/>
    <w:rsid w:val="00E959FA"/>
    <w:rsid w:val="00E9653A"/>
    <w:rsid w:val="00E97B25"/>
    <w:rsid w:val="00EA3A4D"/>
    <w:rsid w:val="00EB1FFE"/>
    <w:rsid w:val="00EB6644"/>
    <w:rsid w:val="00EC3F27"/>
    <w:rsid w:val="00EC40BD"/>
    <w:rsid w:val="00EC432A"/>
    <w:rsid w:val="00ED0115"/>
    <w:rsid w:val="00ED0F84"/>
    <w:rsid w:val="00ED5151"/>
    <w:rsid w:val="00EE04E1"/>
    <w:rsid w:val="00EE326B"/>
    <w:rsid w:val="00EF2098"/>
    <w:rsid w:val="00EF2495"/>
    <w:rsid w:val="00EF4446"/>
    <w:rsid w:val="00EF71FE"/>
    <w:rsid w:val="00F00536"/>
    <w:rsid w:val="00F00767"/>
    <w:rsid w:val="00F019EE"/>
    <w:rsid w:val="00F062FF"/>
    <w:rsid w:val="00F127B3"/>
    <w:rsid w:val="00F15671"/>
    <w:rsid w:val="00F16BF0"/>
    <w:rsid w:val="00F16F40"/>
    <w:rsid w:val="00F22E4B"/>
    <w:rsid w:val="00F25198"/>
    <w:rsid w:val="00F2663F"/>
    <w:rsid w:val="00F3275E"/>
    <w:rsid w:val="00F35431"/>
    <w:rsid w:val="00F37D5D"/>
    <w:rsid w:val="00F42D92"/>
    <w:rsid w:val="00F52E67"/>
    <w:rsid w:val="00F530F8"/>
    <w:rsid w:val="00F538F2"/>
    <w:rsid w:val="00F57486"/>
    <w:rsid w:val="00F6010B"/>
    <w:rsid w:val="00F6518B"/>
    <w:rsid w:val="00F6588E"/>
    <w:rsid w:val="00F672F4"/>
    <w:rsid w:val="00F67626"/>
    <w:rsid w:val="00F67FBA"/>
    <w:rsid w:val="00F72CDA"/>
    <w:rsid w:val="00F736F6"/>
    <w:rsid w:val="00F741C5"/>
    <w:rsid w:val="00F75A43"/>
    <w:rsid w:val="00F764B0"/>
    <w:rsid w:val="00F76657"/>
    <w:rsid w:val="00F7683A"/>
    <w:rsid w:val="00F85CBA"/>
    <w:rsid w:val="00F86C01"/>
    <w:rsid w:val="00F87BE8"/>
    <w:rsid w:val="00F90A1B"/>
    <w:rsid w:val="00F97E42"/>
    <w:rsid w:val="00FA1A34"/>
    <w:rsid w:val="00FA24E6"/>
    <w:rsid w:val="00FA34BD"/>
    <w:rsid w:val="00FA387E"/>
    <w:rsid w:val="00FB2415"/>
    <w:rsid w:val="00FB353A"/>
    <w:rsid w:val="00FC2B78"/>
    <w:rsid w:val="00FC7402"/>
    <w:rsid w:val="00FD6B24"/>
    <w:rsid w:val="00FE41D3"/>
    <w:rsid w:val="00FE7B07"/>
    <w:rsid w:val="00FF626A"/>
    <w:rsid w:val="00FF7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E3FB4-5517-48DD-A082-8793C70C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iPriority w:val="99"/>
    <w:unhideWhenUsed/>
    <w:rsid w:val="009A322E"/>
    <w:pPr>
      <w:tabs>
        <w:tab w:val="center" w:pos="4153"/>
        <w:tab w:val="right" w:pos="8306"/>
      </w:tabs>
      <w:snapToGrid w:val="0"/>
    </w:pPr>
    <w:rPr>
      <w:sz w:val="20"/>
      <w:szCs w:val="20"/>
    </w:rPr>
  </w:style>
  <w:style w:type="character" w:customStyle="1" w:styleId="a6">
    <w:name w:val="頁尾 字元"/>
    <w:link w:val="a5"/>
    <w:uiPriority w:val="99"/>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uiPriority w:val="99"/>
    <w:semiHidden/>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table" w:styleId="ab">
    <w:name w:val="Table Grid"/>
    <w:basedOn w:val="a1"/>
    <w:uiPriority w:val="59"/>
    <w:rsid w:val="00A64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292">
      <w:bodyDiv w:val="1"/>
      <w:marLeft w:val="0"/>
      <w:marRight w:val="0"/>
      <w:marTop w:val="0"/>
      <w:marBottom w:val="0"/>
      <w:divBdr>
        <w:top w:val="none" w:sz="0" w:space="0" w:color="auto"/>
        <w:left w:val="none" w:sz="0" w:space="0" w:color="auto"/>
        <w:bottom w:val="none" w:sz="0" w:space="0" w:color="auto"/>
        <w:right w:val="none" w:sz="0" w:space="0" w:color="auto"/>
      </w:divBdr>
      <w:divsChild>
        <w:div w:id="1980649775">
          <w:marLeft w:val="0"/>
          <w:marRight w:val="0"/>
          <w:marTop w:val="0"/>
          <w:marBottom w:val="0"/>
          <w:divBdr>
            <w:top w:val="none" w:sz="0" w:space="0" w:color="auto"/>
            <w:left w:val="none" w:sz="0" w:space="0" w:color="auto"/>
            <w:bottom w:val="none" w:sz="0" w:space="0" w:color="auto"/>
            <w:right w:val="none" w:sz="0" w:space="0" w:color="auto"/>
          </w:divBdr>
          <w:divsChild>
            <w:div w:id="1360279696">
              <w:marLeft w:val="75"/>
              <w:marRight w:val="75"/>
              <w:marTop w:val="0"/>
              <w:marBottom w:val="0"/>
              <w:divBdr>
                <w:top w:val="none" w:sz="0" w:space="0" w:color="auto"/>
                <w:left w:val="none" w:sz="0" w:space="0" w:color="auto"/>
                <w:bottom w:val="none" w:sz="0" w:space="0" w:color="auto"/>
                <w:right w:val="none" w:sz="0" w:space="0" w:color="auto"/>
              </w:divBdr>
              <w:divsChild>
                <w:div w:id="1513111452">
                  <w:marLeft w:val="0"/>
                  <w:marRight w:val="0"/>
                  <w:marTop w:val="75"/>
                  <w:marBottom w:val="75"/>
                  <w:divBdr>
                    <w:top w:val="none" w:sz="0" w:space="0" w:color="auto"/>
                    <w:left w:val="none" w:sz="0" w:space="0" w:color="auto"/>
                    <w:bottom w:val="none" w:sz="0" w:space="0" w:color="auto"/>
                    <w:right w:val="none" w:sz="0" w:space="0" w:color="auto"/>
                  </w:divBdr>
                  <w:divsChild>
                    <w:div w:id="13021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531576950">
      <w:bodyDiv w:val="1"/>
      <w:marLeft w:val="0"/>
      <w:marRight w:val="0"/>
      <w:marTop w:val="0"/>
      <w:marBottom w:val="0"/>
      <w:divBdr>
        <w:top w:val="none" w:sz="0" w:space="0" w:color="auto"/>
        <w:left w:val="none" w:sz="0" w:space="0" w:color="auto"/>
        <w:bottom w:val="none" w:sz="0" w:space="0" w:color="auto"/>
        <w:right w:val="none" w:sz="0" w:space="0" w:color="auto"/>
      </w:divBdr>
      <w:divsChild>
        <w:div w:id="774667644">
          <w:marLeft w:val="0"/>
          <w:marRight w:val="0"/>
          <w:marTop w:val="0"/>
          <w:marBottom w:val="0"/>
          <w:divBdr>
            <w:top w:val="none" w:sz="0" w:space="0" w:color="auto"/>
            <w:left w:val="none" w:sz="0" w:space="0" w:color="auto"/>
            <w:bottom w:val="none" w:sz="0" w:space="0" w:color="auto"/>
            <w:right w:val="none" w:sz="0" w:space="0" w:color="auto"/>
          </w:divBdr>
          <w:divsChild>
            <w:div w:id="6144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374">
      <w:bodyDiv w:val="1"/>
      <w:marLeft w:val="0"/>
      <w:marRight w:val="0"/>
      <w:marTop w:val="0"/>
      <w:marBottom w:val="0"/>
      <w:divBdr>
        <w:top w:val="none" w:sz="0" w:space="0" w:color="auto"/>
        <w:left w:val="none" w:sz="0" w:space="0" w:color="auto"/>
        <w:bottom w:val="none" w:sz="0" w:space="0" w:color="auto"/>
        <w:right w:val="none" w:sz="0" w:space="0" w:color="auto"/>
      </w:divBdr>
      <w:divsChild>
        <w:div w:id="1796831954">
          <w:marLeft w:val="0"/>
          <w:marRight w:val="0"/>
          <w:marTop w:val="0"/>
          <w:marBottom w:val="0"/>
          <w:divBdr>
            <w:top w:val="none" w:sz="0" w:space="0" w:color="auto"/>
            <w:left w:val="none" w:sz="0" w:space="0" w:color="auto"/>
            <w:bottom w:val="none" w:sz="0" w:space="0" w:color="auto"/>
            <w:right w:val="none" w:sz="0" w:space="0" w:color="auto"/>
          </w:divBdr>
          <w:divsChild>
            <w:div w:id="1381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cp:lastModifiedBy>高婉容</cp:lastModifiedBy>
  <cp:revision>5</cp:revision>
  <cp:lastPrinted>2016-09-23T05:58:00Z</cp:lastPrinted>
  <dcterms:created xsi:type="dcterms:W3CDTF">2016-11-03T02:15:00Z</dcterms:created>
  <dcterms:modified xsi:type="dcterms:W3CDTF">2016-11-14T08:12:00Z</dcterms:modified>
</cp:coreProperties>
</file>