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72" w:rsidRPr="00160C73" w:rsidRDefault="009A75AA" w:rsidP="00FF4E02">
      <w:pPr>
        <w:jc w:val="center"/>
        <w:rPr>
          <w:rFonts w:ascii="標楷體" w:eastAsia="標楷體" w:hAnsi="標楷體"/>
          <w:sz w:val="36"/>
          <w:szCs w:val="36"/>
        </w:rPr>
      </w:pPr>
      <w:r w:rsidRPr="00160C73">
        <w:rPr>
          <w:rFonts w:ascii="標楷體" w:eastAsia="標楷體" w:hAnsi="標楷體" w:hint="eastAsia"/>
          <w:sz w:val="36"/>
          <w:szCs w:val="36"/>
        </w:rPr>
        <w:t>募資平台與募資公司簽訂契約應注意事項</w:t>
      </w:r>
    </w:p>
    <w:p w:rsidR="009A75AA" w:rsidRDefault="00FF4E0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9A75AA">
        <w:rPr>
          <w:rFonts w:ascii="標楷體" w:eastAsia="標楷體" w:hAnsi="標楷體" w:cs="細明體" w:hint="eastAsia"/>
          <w:kern w:val="0"/>
        </w:rPr>
        <w:t>募資平台應與募資公司逐案簽訂</w:t>
      </w:r>
      <w:r w:rsidR="009A75AA" w:rsidRPr="006F2787">
        <w:rPr>
          <w:rFonts w:ascii="標楷體" w:eastAsia="標楷體" w:hAnsi="標楷體" w:cs="細明體" w:hint="eastAsia"/>
          <w:kern w:val="0"/>
        </w:rPr>
        <w:t>契約</w:t>
      </w:r>
      <w:r w:rsidR="009A75AA">
        <w:rPr>
          <w:rFonts w:ascii="標楷體" w:eastAsia="標楷體" w:hAnsi="標楷體" w:cs="細明體" w:hint="eastAsia"/>
          <w:kern w:val="0"/>
        </w:rPr>
        <w:t>，契約內容應</w:t>
      </w:r>
      <w:r w:rsidR="00AC50F0">
        <w:rPr>
          <w:rFonts w:ascii="標楷體" w:eastAsia="標楷體" w:hAnsi="標楷體" w:cs="細明體" w:hint="eastAsia"/>
          <w:kern w:val="0"/>
        </w:rPr>
        <w:t>依證券櫃檯買賣</w:t>
      </w:r>
      <w:r w:rsidR="00E252D2">
        <w:rPr>
          <w:rFonts w:ascii="標楷體" w:eastAsia="標楷體" w:hAnsi="標楷體" w:cs="細明體" w:hint="eastAsia"/>
          <w:kern w:val="0"/>
        </w:rPr>
        <w:t>中心「證券商經營股權性質群眾募資管理辦法」</w:t>
      </w:r>
      <w:r w:rsidR="00A71CF5">
        <w:rPr>
          <w:rFonts w:ascii="標楷體" w:eastAsia="標楷體" w:hAnsi="標楷體" w:cs="細明體" w:hint="eastAsia"/>
          <w:kern w:val="0"/>
        </w:rPr>
        <w:t>(以下</w:t>
      </w:r>
      <w:proofErr w:type="gramStart"/>
      <w:r w:rsidR="00A71CF5">
        <w:rPr>
          <w:rFonts w:ascii="標楷體" w:eastAsia="標楷體" w:hAnsi="標楷體" w:cs="細明體" w:hint="eastAsia"/>
          <w:kern w:val="0"/>
        </w:rPr>
        <w:t>簡稱</w:t>
      </w:r>
      <w:r w:rsidR="00A71CF5" w:rsidRPr="00A71CF5">
        <w:rPr>
          <w:rFonts w:ascii="標楷體" w:eastAsia="標楷體" w:hAnsi="標楷體" w:cs="細明體" w:hint="eastAsia"/>
          <w:kern w:val="0"/>
        </w:rPr>
        <w:t>群募管理</w:t>
      </w:r>
      <w:proofErr w:type="gramEnd"/>
      <w:r w:rsidR="00A71CF5" w:rsidRPr="00A71CF5">
        <w:rPr>
          <w:rFonts w:ascii="標楷體" w:eastAsia="標楷體" w:hAnsi="標楷體" w:cs="細明體" w:hint="eastAsia"/>
          <w:kern w:val="0"/>
        </w:rPr>
        <w:t>辦法</w:t>
      </w:r>
      <w:r w:rsidR="00A71CF5">
        <w:rPr>
          <w:rFonts w:ascii="標楷體" w:eastAsia="標楷體" w:hAnsi="標楷體" w:cs="細明體" w:hint="eastAsia"/>
          <w:kern w:val="0"/>
        </w:rPr>
        <w:t>)規定明訂雙方之權利義務，建議契約內容至少</w:t>
      </w:r>
      <w:r w:rsidR="009A75AA" w:rsidRPr="006F2787">
        <w:rPr>
          <w:rFonts w:ascii="標楷體" w:eastAsia="標楷體" w:hAnsi="標楷體" w:cs="細明體" w:hint="eastAsia"/>
          <w:kern w:val="0"/>
        </w:rPr>
        <w:t>含以下項目：</w:t>
      </w:r>
    </w:p>
    <w:p w:rsidR="00CD7FD1" w:rsidRPr="00B35955" w:rsidRDefault="00307B22" w:rsidP="00307B2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307B22">
        <w:rPr>
          <w:rFonts w:ascii="標楷體" w:eastAsia="標楷體" w:hAnsi="標楷體" w:cs="細明體" w:hint="eastAsia"/>
          <w:kern w:val="0"/>
          <w:szCs w:val="24"/>
        </w:rPr>
        <w:t>募資平台</w:t>
      </w:r>
      <w:r>
        <w:rPr>
          <w:rFonts w:ascii="標楷體" w:eastAsia="標楷體" w:hAnsi="標楷體" w:cs="細明體" w:hint="eastAsia"/>
          <w:kern w:val="0"/>
          <w:szCs w:val="24"/>
        </w:rPr>
        <w:t>接受</w:t>
      </w:r>
      <w:r w:rsidR="00EC0471" w:rsidRPr="00B35955">
        <w:rPr>
          <w:rFonts w:ascii="標楷體" w:eastAsia="標楷體" w:hAnsi="標楷體" w:cs="細明體" w:hint="eastAsia"/>
          <w:kern w:val="0"/>
          <w:szCs w:val="24"/>
        </w:rPr>
        <w:t>委託</w:t>
      </w:r>
      <w:r>
        <w:rPr>
          <w:rFonts w:ascii="標楷體" w:eastAsia="標楷體" w:hAnsi="標楷體" w:cs="細明體" w:hint="eastAsia"/>
          <w:kern w:val="0"/>
          <w:szCs w:val="24"/>
        </w:rPr>
        <w:t>進行</w:t>
      </w:r>
      <w:r w:rsidR="00EC0471" w:rsidRPr="00B35955">
        <w:rPr>
          <w:rFonts w:ascii="標楷體" w:eastAsia="標楷體" w:hAnsi="標楷體" w:cs="細明體" w:hint="eastAsia"/>
          <w:kern w:val="0"/>
          <w:szCs w:val="24"/>
        </w:rPr>
        <w:t>募資</w:t>
      </w:r>
      <w:r w:rsidR="001C6720" w:rsidRPr="00B35955">
        <w:rPr>
          <w:rFonts w:ascii="標楷體" w:eastAsia="標楷體" w:hAnsi="標楷體" w:cs="細明體" w:hint="eastAsia"/>
          <w:kern w:val="0"/>
          <w:szCs w:val="24"/>
        </w:rPr>
        <w:t>之</w:t>
      </w:r>
      <w:r>
        <w:rPr>
          <w:rFonts w:ascii="標楷體" w:eastAsia="標楷體" w:hAnsi="標楷體" w:cs="細明體" w:hint="eastAsia"/>
          <w:kern w:val="0"/>
          <w:szCs w:val="24"/>
        </w:rPr>
        <w:t>具體工作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內容</w:t>
      </w:r>
      <w:r w:rsidR="00EC0471" w:rsidRPr="00B35955">
        <w:rPr>
          <w:rFonts w:ascii="標楷體" w:eastAsia="標楷體" w:hAnsi="標楷體" w:cs="細明體" w:hint="eastAsia"/>
          <w:kern w:val="0"/>
          <w:szCs w:val="24"/>
        </w:rPr>
        <w:t>及</w:t>
      </w:r>
      <w:r>
        <w:rPr>
          <w:rFonts w:ascii="標楷體" w:eastAsia="標楷體" w:hAnsi="標楷體" w:cs="細明體" w:hint="eastAsia"/>
          <w:kern w:val="0"/>
          <w:szCs w:val="24"/>
        </w:rPr>
        <w:t>募資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公司</w:t>
      </w:r>
      <w:r w:rsidR="00EC0471" w:rsidRPr="00B35955">
        <w:rPr>
          <w:rFonts w:ascii="標楷體" w:eastAsia="標楷體" w:hAnsi="標楷體" w:cs="細明體" w:hint="eastAsia"/>
          <w:kern w:val="0"/>
          <w:szCs w:val="24"/>
        </w:rPr>
        <w:t>應提供之相關資料(包括但不限於</w:t>
      </w:r>
      <w:r w:rsidR="00E0656E" w:rsidRPr="00B35955">
        <w:rPr>
          <w:rFonts w:ascii="標楷體" w:eastAsia="標楷體" w:hAnsi="標楷體" w:cs="細明體" w:hint="eastAsia"/>
          <w:kern w:val="0"/>
          <w:szCs w:val="24"/>
        </w:rPr>
        <w:t>公司基本資料、</w:t>
      </w:r>
      <w:r w:rsidR="006F6C46" w:rsidRPr="00B35955">
        <w:rPr>
          <w:rFonts w:ascii="標楷體" w:eastAsia="標楷體" w:hAnsi="標楷體" w:cs="細明體" w:hint="eastAsia"/>
          <w:kern w:val="0"/>
          <w:szCs w:val="24"/>
        </w:rPr>
        <w:t>最近</w:t>
      </w:r>
      <w:r w:rsidR="00324D1D" w:rsidRPr="00B35955">
        <w:rPr>
          <w:rFonts w:ascii="標楷體" w:eastAsia="標楷體" w:hAnsi="標楷體" w:cs="細明體" w:hint="eastAsia"/>
          <w:kern w:val="0"/>
          <w:szCs w:val="24"/>
        </w:rPr>
        <w:t>年度及最近</w:t>
      </w:r>
      <w:r w:rsidR="006F6C46" w:rsidRPr="00B35955">
        <w:rPr>
          <w:rFonts w:ascii="標楷體" w:eastAsia="標楷體" w:hAnsi="標楷體" w:cs="細明體" w:hint="eastAsia"/>
          <w:kern w:val="0"/>
          <w:szCs w:val="24"/>
        </w:rPr>
        <w:t>期財務資料、董監及</w:t>
      </w:r>
      <w:proofErr w:type="gramStart"/>
      <w:r w:rsidR="00930D22" w:rsidRPr="00B35955">
        <w:rPr>
          <w:rFonts w:ascii="標楷體" w:eastAsia="標楷體" w:hAnsi="標楷體" w:cs="細明體" w:hint="eastAsia"/>
          <w:kern w:val="0"/>
          <w:szCs w:val="24"/>
        </w:rPr>
        <w:t>及</w:t>
      </w:r>
      <w:proofErr w:type="gramEnd"/>
      <w:r w:rsidR="00930D22" w:rsidRPr="00B35955">
        <w:rPr>
          <w:rFonts w:ascii="標楷體" w:eastAsia="標楷體" w:hAnsi="標楷體" w:cs="細明體" w:hint="eastAsia"/>
          <w:kern w:val="0"/>
          <w:szCs w:val="24"/>
        </w:rPr>
        <w:t>持股百分之十以上股東名單、</w:t>
      </w:r>
      <w:r w:rsidR="006F6C46" w:rsidRPr="00B35955">
        <w:rPr>
          <w:rFonts w:ascii="標楷體" w:eastAsia="標楷體" w:hAnsi="標楷體" w:cs="細明體" w:hint="eastAsia"/>
          <w:kern w:val="0"/>
          <w:szCs w:val="24"/>
        </w:rPr>
        <w:t>經營團隊名單</w:t>
      </w:r>
      <w:r w:rsidR="00E0656E" w:rsidRPr="00B35955">
        <w:rPr>
          <w:rFonts w:ascii="標楷體" w:eastAsia="標楷體" w:hAnsi="標楷體" w:cs="細明體" w:hint="eastAsia"/>
          <w:kern w:val="0"/>
          <w:szCs w:val="24"/>
        </w:rPr>
        <w:t>、公司過去三年募資及資金運用相關紀錄、本次現金增資資金運用計畫等</w:t>
      </w:r>
      <w:r w:rsidR="00324D1D" w:rsidRPr="00B35955">
        <w:rPr>
          <w:rFonts w:ascii="標楷體" w:eastAsia="標楷體" w:hAnsi="標楷體" w:cs="細明體" w:hint="eastAsia"/>
          <w:kern w:val="0"/>
          <w:szCs w:val="24"/>
        </w:rPr>
        <w:t>籌資計畫書應行</w:t>
      </w:r>
      <w:r w:rsidR="00E778A2" w:rsidRPr="00B35955">
        <w:rPr>
          <w:rFonts w:ascii="標楷體" w:eastAsia="標楷體" w:hAnsi="標楷體" w:cs="細明體" w:hint="eastAsia"/>
          <w:kern w:val="0"/>
          <w:szCs w:val="24"/>
        </w:rPr>
        <w:t>記</w:t>
      </w:r>
      <w:r w:rsidR="00324D1D" w:rsidRPr="00B35955">
        <w:rPr>
          <w:rFonts w:ascii="標楷體" w:eastAsia="標楷體" w:hAnsi="標楷體" w:cs="細明體" w:hint="eastAsia"/>
          <w:kern w:val="0"/>
          <w:szCs w:val="24"/>
        </w:rPr>
        <w:t>載項目</w:t>
      </w:r>
      <w:r w:rsidR="00E0656E" w:rsidRPr="00B35955">
        <w:rPr>
          <w:rFonts w:ascii="標楷體" w:eastAsia="標楷體" w:hAnsi="標楷體" w:cs="細明體" w:hint="eastAsia"/>
          <w:kern w:val="0"/>
          <w:szCs w:val="24"/>
        </w:rPr>
        <w:t>)</w:t>
      </w:r>
      <w:r w:rsidR="00B35955" w:rsidRPr="00B35955">
        <w:rPr>
          <w:rFonts w:hint="eastAsia"/>
        </w:rPr>
        <w:t xml:space="preserve"> 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</w:t>
      </w:r>
      <w:r w:rsid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9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</w:t>
      </w:r>
      <w:r w:rsid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及第24條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)</w:t>
      </w:r>
    </w:p>
    <w:p w:rsidR="00A71CF5" w:rsidRPr="00A71CF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A71CF5">
        <w:rPr>
          <w:rFonts w:ascii="標楷體" w:eastAsia="標楷體" w:hAnsi="標楷體" w:cs="細明體" w:hint="eastAsia"/>
          <w:kern w:val="0"/>
          <w:szCs w:val="24"/>
        </w:rPr>
        <w:t>公司辦理股權募資</w:t>
      </w:r>
      <w:r>
        <w:rPr>
          <w:rFonts w:ascii="標楷體" w:eastAsia="標楷體" w:hAnsi="標楷體" w:cs="細明體" w:hint="eastAsia"/>
          <w:kern w:val="0"/>
          <w:szCs w:val="24"/>
        </w:rPr>
        <w:t>不得</w:t>
      </w:r>
      <w:r w:rsidRPr="00A71CF5">
        <w:rPr>
          <w:rFonts w:ascii="標楷體" w:eastAsia="標楷體" w:hAnsi="標楷體" w:cs="細明體" w:hint="eastAsia"/>
          <w:kern w:val="0"/>
          <w:szCs w:val="24"/>
        </w:rPr>
        <w:t>涉及違反法令規定或公序</w:t>
      </w:r>
      <w:proofErr w:type="gramStart"/>
      <w:r w:rsidRPr="00A71CF5">
        <w:rPr>
          <w:rFonts w:ascii="標楷體" w:eastAsia="標楷體" w:hAnsi="標楷體" w:cs="細明體" w:hint="eastAsia"/>
          <w:kern w:val="0"/>
          <w:szCs w:val="24"/>
        </w:rPr>
        <w:t>良俗等具</w:t>
      </w:r>
      <w:proofErr w:type="gramEnd"/>
      <w:r w:rsidRPr="00A71CF5">
        <w:rPr>
          <w:rFonts w:ascii="標楷體" w:eastAsia="標楷體" w:hAnsi="標楷體" w:cs="細明體" w:hint="eastAsia"/>
          <w:kern w:val="0"/>
          <w:szCs w:val="24"/>
        </w:rPr>
        <w:t>爭議性之資金運用項目。</w:t>
      </w:r>
      <w:r w:rsidRPr="00A71CF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Pr="00A71CF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Pr="00A71CF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辦法第15條第1項第</w:t>
      </w:r>
      <w:r w:rsidR="0006674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1</w:t>
      </w:r>
      <w:r w:rsidRPr="00A71CF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款)</w:t>
      </w:r>
    </w:p>
    <w:p w:rsidR="00A71CF5" w:rsidRPr="00150417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  <w:shd w:val="pct15" w:color="auto" w:fill="FFFFFF"/>
        </w:rPr>
      </w:pPr>
      <w:r w:rsidRPr="00150417">
        <w:rPr>
          <w:rFonts w:ascii="標楷體" w:eastAsia="標楷體" w:hAnsi="標楷體" w:cs="細明體" w:hint="eastAsia"/>
          <w:kern w:val="0"/>
          <w:szCs w:val="24"/>
        </w:rPr>
        <w:t>募資標的僅限於普通股股票。</w:t>
      </w:r>
      <w:r w:rsidR="00150417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150417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150417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辦法第18條)</w:t>
      </w:r>
    </w:p>
    <w:p w:rsidR="00A71CF5" w:rsidRDefault="00150417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同一次增資僅限</w:t>
      </w:r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透過</w:t>
      </w:r>
      <w:proofErr w:type="gramStart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單一募</w:t>
      </w:r>
      <w:proofErr w:type="gramEnd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資平台進行募資。</w:t>
      </w:r>
      <w:r w:rsidR="000263B6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0263B6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0263B6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</w:t>
      </w:r>
      <w:r w:rsidR="000263B6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23</w:t>
      </w:r>
      <w:r w:rsidR="000263B6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條)</w:t>
      </w:r>
    </w:p>
    <w:p w:rsidR="00A71CF5" w:rsidRPr="00B3595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35955">
        <w:rPr>
          <w:rFonts w:ascii="標楷體" w:eastAsia="標楷體" w:hAnsi="標楷體" w:cs="細明體" w:hint="eastAsia"/>
          <w:kern w:val="0"/>
          <w:szCs w:val="24"/>
        </w:rPr>
        <w:t>收費標準(不得以任何實質或形式辦理退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佣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)。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辦法第19條)</w:t>
      </w:r>
    </w:p>
    <w:p w:rsidR="00A71CF5" w:rsidRPr="00B35955" w:rsidRDefault="00B3595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  <w:shd w:val="pct15" w:color="auto" w:fill="FFFFFF"/>
        </w:rPr>
      </w:pPr>
      <w:r>
        <w:rPr>
          <w:rFonts w:ascii="標楷體" w:eastAsia="標楷體" w:hAnsi="標楷體" w:cs="細明體" w:hint="eastAsia"/>
          <w:kern w:val="0"/>
          <w:szCs w:val="24"/>
        </w:rPr>
        <w:t>募資平台</w:t>
      </w:r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應確認公司之內部控制、帳</w:t>
      </w:r>
      <w:proofErr w:type="gramStart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處理、公司及其經營階層之誠信紀錄等</w:t>
      </w:r>
      <w:proofErr w:type="gramStart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符合群</w:t>
      </w:r>
      <w:r w:rsidR="00066745">
        <w:rPr>
          <w:rFonts w:ascii="標楷體" w:eastAsia="標楷體" w:hAnsi="標楷體" w:cs="細明體" w:hint="eastAsia"/>
          <w:kern w:val="0"/>
          <w:szCs w:val="24"/>
        </w:rPr>
        <w:t>募</w:t>
      </w:r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管理</w:t>
      </w:r>
      <w:proofErr w:type="gramEnd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辦法規定者，始</w:t>
      </w:r>
      <w:proofErr w:type="gramStart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得於募資</w:t>
      </w:r>
      <w:proofErr w:type="gramEnd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平台揭示該公司</w:t>
      </w:r>
      <w:proofErr w:type="gramStart"/>
      <w:r w:rsidR="00066745">
        <w:rPr>
          <w:rFonts w:ascii="標楷體" w:eastAsia="標楷體" w:hAnsi="標楷體" w:cs="細明體" w:hint="eastAsia"/>
          <w:kern w:val="0"/>
          <w:szCs w:val="24"/>
        </w:rPr>
        <w:t>基本資料及</w:t>
      </w:r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募資</w:t>
      </w:r>
      <w:proofErr w:type="gramEnd"/>
      <w:r w:rsidR="00A71CF5" w:rsidRPr="00A71CF5">
        <w:rPr>
          <w:rFonts w:ascii="標楷體" w:eastAsia="標楷體" w:hAnsi="標楷體" w:cs="細明體" w:hint="eastAsia"/>
          <w:kern w:val="0"/>
          <w:szCs w:val="24"/>
        </w:rPr>
        <w:t>資訊。</w:t>
      </w:r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</w:t>
      </w:r>
      <w:r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20</w:t>
      </w:r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條)</w:t>
      </w:r>
    </w:p>
    <w:p w:rsidR="00B35955" w:rsidRPr="00B35955" w:rsidRDefault="00A71CF5" w:rsidP="00B3595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kern w:val="0"/>
          <w:szCs w:val="24"/>
        </w:rPr>
      </w:pPr>
      <w:r w:rsidRPr="00B35955">
        <w:rPr>
          <w:rFonts w:ascii="標楷體" w:eastAsia="標楷體" w:hAnsi="標楷體" w:cs="細明體" w:hint="eastAsia"/>
          <w:kern w:val="0"/>
          <w:szCs w:val="24"/>
        </w:rPr>
        <w:t>公司辦理股權募資應委託金融機構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代收股款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並開立現金增資專戶，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且募資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期間該專戶金額不得流用。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</w:t>
      </w:r>
      <w:r w:rsid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21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條)</w:t>
      </w:r>
    </w:p>
    <w:p w:rsidR="00B35955" w:rsidRPr="00B35955" w:rsidRDefault="00066745" w:rsidP="00B3595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募資目標金額未能於約定募資期間收足者，公司應加給法定利息及自行負擔手續費後</w:t>
      </w:r>
      <w:r w:rsidR="00B35955" w:rsidRPr="00B35955">
        <w:rPr>
          <w:rFonts w:ascii="標楷體" w:eastAsia="標楷體" w:hAnsi="標楷體" w:cs="細明體" w:hint="eastAsia"/>
          <w:kern w:val="0"/>
          <w:szCs w:val="24"/>
        </w:rPr>
        <w:t>退款給已出資之投資人 。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辦法第21條)</w:t>
      </w:r>
    </w:p>
    <w:p w:rsidR="00A71CF5" w:rsidRPr="00B35955" w:rsidRDefault="00B35955" w:rsidP="00B3595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  <w:shd w:val="pct15" w:color="auto" w:fill="FFFFFF"/>
        </w:rPr>
      </w:pP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同次現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增募資平台與</w:t>
      </w:r>
      <w:r w:rsidRPr="00B35955">
        <w:rPr>
          <w:rFonts w:ascii="標楷體" w:eastAsia="標楷體" w:hAnsi="標楷體" w:cs="細明體" w:hint="eastAsia"/>
          <w:kern w:val="0"/>
          <w:szCs w:val="24"/>
        </w:rPr>
        <w:t>公司</w:t>
      </w:r>
      <w:r>
        <w:rPr>
          <w:rFonts w:ascii="標楷體" w:eastAsia="標楷體" w:hAnsi="標楷體" w:cs="細明體" w:hint="eastAsia"/>
          <w:kern w:val="0"/>
          <w:szCs w:val="24"/>
        </w:rPr>
        <w:t>最多</w:t>
      </w:r>
      <w:r w:rsidRPr="00B35955">
        <w:rPr>
          <w:rFonts w:ascii="標楷體" w:eastAsia="標楷體" w:hAnsi="標楷體" w:cs="細明體" w:hint="eastAsia"/>
          <w:kern w:val="0"/>
          <w:szCs w:val="24"/>
        </w:rPr>
        <w:t>得訂二次之認購期間供投資人認購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辦法第27條)</w:t>
      </w:r>
    </w:p>
    <w:p w:rsidR="00A71CF5" w:rsidRPr="00B3595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35955">
        <w:rPr>
          <w:rFonts w:ascii="標楷體" w:eastAsia="標楷體" w:hAnsi="標楷體" w:cs="細明體" w:hint="eastAsia"/>
          <w:kern w:val="0"/>
          <w:szCs w:val="24"/>
        </w:rPr>
        <w:t>公司得自辦股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或委託專業股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代理機構處理股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作業，惟自辦股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</w:rPr>
        <w:t>務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</w:rPr>
        <w:t>者應制定相關之內部控制制度。</w:t>
      </w:r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辦法第2</w:t>
      </w:r>
      <w:r w:rsidR="002D2669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</w:t>
      </w:r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條)</w:t>
      </w:r>
    </w:p>
    <w:p w:rsidR="00A71CF5" w:rsidRPr="00543D22" w:rsidRDefault="00A71CF5" w:rsidP="00AC50F0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A71CF5">
        <w:rPr>
          <w:rFonts w:ascii="標楷體" w:eastAsia="標楷體" w:hAnsi="標楷體" w:cs="細明體" w:hint="eastAsia"/>
          <w:kern w:val="0"/>
          <w:szCs w:val="24"/>
        </w:rPr>
        <w:t>公司</w:t>
      </w:r>
      <w:proofErr w:type="gramStart"/>
      <w:r w:rsidR="00543D22">
        <w:rPr>
          <w:rFonts w:ascii="標楷體" w:eastAsia="標楷體" w:hAnsi="標楷體" w:cs="細明體" w:hint="eastAsia"/>
          <w:kern w:val="0"/>
          <w:szCs w:val="24"/>
        </w:rPr>
        <w:t>從</w:t>
      </w:r>
      <w:r w:rsidR="00543D22" w:rsidRPr="00543D22">
        <w:rPr>
          <w:rFonts w:ascii="標楷體" w:eastAsia="標楷體" w:hAnsi="標楷體" w:cs="細明體" w:hint="eastAsia"/>
          <w:kern w:val="0"/>
          <w:szCs w:val="24"/>
        </w:rPr>
        <w:t>募資至</w:t>
      </w:r>
      <w:proofErr w:type="gramEnd"/>
      <w:r w:rsidR="00543D22" w:rsidRPr="00543D22">
        <w:rPr>
          <w:rFonts w:ascii="標楷體" w:eastAsia="標楷體" w:hAnsi="標楷體" w:cs="細明體" w:hint="eastAsia"/>
          <w:kern w:val="0"/>
          <w:szCs w:val="24"/>
        </w:rPr>
        <w:t>完成變更登記止，相關進度應</w:t>
      </w:r>
      <w:proofErr w:type="gramStart"/>
      <w:r w:rsidR="00543D22">
        <w:rPr>
          <w:rFonts w:ascii="標楷體" w:eastAsia="標楷體" w:hAnsi="標楷體" w:cs="細明體" w:hint="eastAsia"/>
          <w:kern w:val="0"/>
          <w:szCs w:val="24"/>
        </w:rPr>
        <w:t>揭露於募資</w:t>
      </w:r>
      <w:proofErr w:type="gramEnd"/>
      <w:r w:rsidR="00543D22">
        <w:rPr>
          <w:rFonts w:ascii="標楷體" w:eastAsia="標楷體" w:hAnsi="標楷體" w:cs="細明體" w:hint="eastAsia"/>
          <w:kern w:val="0"/>
          <w:szCs w:val="24"/>
        </w:rPr>
        <w:t>平台，</w:t>
      </w:r>
      <w:proofErr w:type="gramStart"/>
      <w:r w:rsidR="00543D22">
        <w:rPr>
          <w:rFonts w:ascii="標楷體" w:eastAsia="標楷體" w:hAnsi="標楷體" w:cs="細明體" w:hint="eastAsia"/>
          <w:kern w:val="0"/>
          <w:szCs w:val="24"/>
        </w:rPr>
        <w:t>且</w:t>
      </w:r>
      <w:r w:rsidRPr="00A71CF5">
        <w:rPr>
          <w:rFonts w:ascii="標楷體" w:eastAsia="標楷體" w:hAnsi="標楷體" w:cs="細明體" w:hint="eastAsia"/>
          <w:kern w:val="0"/>
          <w:szCs w:val="24"/>
        </w:rPr>
        <w:t>募資</w:t>
      </w:r>
      <w:proofErr w:type="gramEnd"/>
      <w:r w:rsidRPr="00A71CF5">
        <w:rPr>
          <w:rFonts w:ascii="標楷體" w:eastAsia="標楷體" w:hAnsi="標楷體" w:cs="細明體" w:hint="eastAsia"/>
          <w:kern w:val="0"/>
          <w:szCs w:val="24"/>
        </w:rPr>
        <w:t>完成日起至資金運用完成日之次年底止</w:t>
      </w:r>
      <w:r w:rsidR="00AC50F0">
        <w:rPr>
          <w:rFonts w:ascii="標楷體" w:eastAsia="標楷體" w:hAnsi="標楷體" w:cs="細明體" w:hint="eastAsia"/>
          <w:kern w:val="0"/>
          <w:szCs w:val="24"/>
        </w:rPr>
        <w:t>，</w:t>
      </w:r>
      <w:r w:rsidR="00543D22">
        <w:rPr>
          <w:rFonts w:ascii="標楷體" w:eastAsia="標楷體" w:hAnsi="標楷體" w:cs="細明體" w:hint="eastAsia"/>
          <w:kern w:val="0"/>
          <w:szCs w:val="24"/>
        </w:rPr>
        <w:t>應持續</w:t>
      </w:r>
      <w:r w:rsidR="00AC50F0">
        <w:rPr>
          <w:rFonts w:ascii="標楷體" w:eastAsia="標楷體" w:hAnsi="標楷體" w:cs="細明體" w:hint="eastAsia"/>
          <w:kern w:val="0"/>
          <w:szCs w:val="24"/>
        </w:rPr>
        <w:t>依</w:t>
      </w:r>
      <w:r w:rsidR="00AC50F0">
        <w:rPr>
          <w:rFonts w:ascii="標楷體" w:eastAsia="標楷體" w:hAnsi="標楷體" w:cs="細明體" w:hint="eastAsia"/>
          <w:kern w:val="0"/>
        </w:rPr>
        <w:t>證券櫃檯買賣</w:t>
      </w:r>
      <w:r w:rsidR="00AC50F0">
        <w:rPr>
          <w:rFonts w:ascii="標楷體" w:eastAsia="標楷體" w:hAnsi="標楷體" w:cs="細明體" w:hint="eastAsia"/>
          <w:kern w:val="0"/>
        </w:rPr>
        <w:t>中心</w:t>
      </w:r>
      <w:r w:rsidR="00AC50F0">
        <w:rPr>
          <w:rFonts w:ascii="標楷體" w:eastAsia="標楷體" w:hAnsi="標楷體" w:cs="細明體" w:hint="eastAsia"/>
          <w:kern w:val="0"/>
        </w:rPr>
        <w:t>「證券商經營股權性質群眾募資管理辦法」</w:t>
      </w:r>
      <w:r w:rsidR="00AC50F0" w:rsidRPr="00AC50F0">
        <w:rPr>
          <w:rFonts w:ascii="標楷體" w:eastAsia="標楷體" w:hAnsi="標楷體" w:cs="細明體" w:hint="eastAsia"/>
          <w:kern w:val="0"/>
        </w:rPr>
        <w:t>第28條及第29條</w:t>
      </w:r>
      <w:r w:rsidR="00AC50F0">
        <w:rPr>
          <w:rFonts w:ascii="標楷體" w:eastAsia="標楷體" w:hAnsi="標楷體" w:cs="細明體" w:hint="eastAsia"/>
          <w:kern w:val="0"/>
        </w:rPr>
        <w:t>規定</w:t>
      </w:r>
      <w:r w:rsidR="00543D22">
        <w:rPr>
          <w:rFonts w:ascii="標楷體" w:eastAsia="標楷體" w:hAnsi="標楷體" w:cs="細明體" w:hint="eastAsia"/>
          <w:kern w:val="0"/>
          <w:szCs w:val="24"/>
        </w:rPr>
        <w:t>辦理資訊申報及重大訊息揭露</w:t>
      </w:r>
      <w:r w:rsidRPr="00A71CF5">
        <w:rPr>
          <w:rFonts w:ascii="標楷體" w:eastAsia="標楷體" w:hAnsi="標楷體" w:cs="細明體" w:hint="eastAsia"/>
          <w:kern w:val="0"/>
          <w:szCs w:val="24"/>
        </w:rPr>
        <w:t>。</w:t>
      </w:r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</w:t>
      </w:r>
      <w:r w:rsidR="00543D22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24條第2項、第</w:t>
      </w:r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</w:t>
      </w:r>
      <w:r w:rsidR="002D2669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8</w:t>
      </w:r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</w:t>
      </w:r>
      <w:r w:rsidR="002D2669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及</w:t>
      </w:r>
      <w:r w:rsidR="00543D22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第</w:t>
      </w:r>
      <w:r w:rsidR="002D2669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29條</w:t>
      </w:r>
      <w:r w:rsidR="002D2669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)</w:t>
      </w:r>
      <w:bookmarkStart w:id="0" w:name="_GoBack"/>
      <w:bookmarkEnd w:id="0"/>
    </w:p>
    <w:p w:rsidR="00543D22" w:rsidRDefault="00543D22" w:rsidP="00543D2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543D22">
        <w:rPr>
          <w:rFonts w:ascii="標楷體" w:eastAsia="標楷體" w:hAnsi="標楷體" w:cs="細明體" w:hint="eastAsia"/>
          <w:kern w:val="0"/>
          <w:szCs w:val="24"/>
        </w:rPr>
        <w:lastRenderedPageBreak/>
        <w:t>公司於辦理股權募資</w:t>
      </w:r>
      <w:proofErr w:type="gramStart"/>
      <w:r w:rsidRPr="00543D22">
        <w:rPr>
          <w:rFonts w:ascii="標楷體" w:eastAsia="標楷體" w:hAnsi="標楷體" w:cs="細明體" w:hint="eastAsia"/>
          <w:kern w:val="0"/>
          <w:szCs w:val="24"/>
        </w:rPr>
        <w:t>期間，</w:t>
      </w:r>
      <w:proofErr w:type="gramEnd"/>
      <w:r w:rsidRPr="00543D22">
        <w:rPr>
          <w:rFonts w:ascii="標楷體" w:eastAsia="標楷體" w:hAnsi="標楷體" w:cs="細明體" w:hint="eastAsia"/>
          <w:kern w:val="0"/>
          <w:szCs w:val="24"/>
        </w:rPr>
        <w:t>不得對外說明或發布財務業務之預測性資訊。</w:t>
      </w:r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</w:t>
      </w:r>
      <w:r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24條第3項</w:t>
      </w:r>
      <w:r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)</w:t>
      </w:r>
    </w:p>
    <w:p w:rsidR="00A71CF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A71CF5">
        <w:rPr>
          <w:rFonts w:ascii="標楷體" w:eastAsia="標楷體" w:hAnsi="標楷體" w:cs="細明體" w:hint="eastAsia"/>
          <w:kern w:val="0"/>
          <w:szCs w:val="24"/>
        </w:rPr>
        <w:t>公司提供之文件、表單、相關資料或申報之資訊應翔實記載，不得有虛偽、隱匿、重大遺漏或明顯錯誤等缺失。</w:t>
      </w:r>
    </w:p>
    <w:p w:rsidR="00A71CF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A71CF5">
        <w:rPr>
          <w:rFonts w:ascii="標楷體" w:eastAsia="標楷體" w:hAnsi="標楷體" w:cs="細明體" w:hint="eastAsia"/>
          <w:kern w:val="0"/>
          <w:szCs w:val="24"/>
        </w:rPr>
        <w:t>公司及其董事、監察人及經理人應協助募資平台進行盡職調查程序，並提供所需之資料。</w:t>
      </w:r>
      <w:r w:rsidR="002D2669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2D2669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2D2669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</w:t>
      </w:r>
      <w:r w:rsidR="002D2669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24</w:t>
      </w:r>
      <w:r w:rsidR="002D2669"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條)</w:t>
      </w:r>
    </w:p>
    <w:p w:rsidR="00A71CF5" w:rsidRPr="00150417" w:rsidRDefault="00150417" w:rsidP="00543D2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150417">
        <w:rPr>
          <w:rFonts w:ascii="標楷體" w:eastAsia="標楷體" w:hAnsi="標楷體" w:cs="細明體" w:hint="eastAsia"/>
          <w:kern w:val="0"/>
          <w:szCs w:val="24"/>
        </w:rPr>
        <w:t>募資平台對公司財務業務上之秘密事項，應盡</w:t>
      </w:r>
      <w:r w:rsidR="00A71CF5" w:rsidRPr="00150417">
        <w:rPr>
          <w:rFonts w:ascii="標楷體" w:eastAsia="標楷體" w:hAnsi="標楷體" w:cs="細明體" w:hint="eastAsia"/>
          <w:kern w:val="0"/>
          <w:szCs w:val="24"/>
        </w:rPr>
        <w:t>保密義務</w:t>
      </w:r>
      <w:r w:rsidR="00543D22">
        <w:rPr>
          <w:rFonts w:ascii="標楷體" w:eastAsia="標楷體" w:hAnsi="標楷體" w:cs="細明體" w:hint="eastAsia"/>
          <w:kern w:val="0"/>
          <w:szCs w:val="24"/>
        </w:rPr>
        <w:t>。但依據法令、主管機關要求或經當事人同意者，不在此限</w:t>
      </w:r>
      <w:r w:rsidR="00A71CF5" w:rsidRPr="00150417">
        <w:rPr>
          <w:rFonts w:ascii="標楷體" w:eastAsia="標楷體" w:hAnsi="標楷體" w:cs="細明體" w:hint="eastAsia"/>
          <w:kern w:val="0"/>
          <w:szCs w:val="24"/>
        </w:rPr>
        <w:t>。</w:t>
      </w:r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</w:t>
      </w:r>
      <w:r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6</w:t>
      </w:r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條)</w:t>
      </w:r>
    </w:p>
    <w:p w:rsidR="00A71CF5" w:rsidRPr="00150417" w:rsidRDefault="00150417" w:rsidP="00543D2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150417">
        <w:rPr>
          <w:rFonts w:ascii="標楷體" w:eastAsia="標楷體" w:hAnsi="標楷體" w:cs="細明體" w:hint="eastAsia"/>
          <w:kern w:val="0"/>
          <w:szCs w:val="24"/>
        </w:rPr>
        <w:t>募資平台</w:t>
      </w:r>
      <w:r w:rsidR="00A71CF5" w:rsidRPr="00150417">
        <w:rPr>
          <w:rFonts w:ascii="標楷體" w:eastAsia="標楷體" w:hAnsi="標楷體" w:cs="細明體" w:hint="eastAsia"/>
          <w:kern w:val="0"/>
          <w:szCs w:val="24"/>
        </w:rPr>
        <w:t>對個人資料之蒐集、利用</w:t>
      </w:r>
      <w:r w:rsidR="00543D22">
        <w:rPr>
          <w:rFonts w:ascii="標楷體" w:eastAsia="標楷體" w:hAnsi="標楷體" w:cs="細明體" w:hint="eastAsia"/>
          <w:kern w:val="0"/>
          <w:szCs w:val="24"/>
        </w:rPr>
        <w:t>或提供主管機關及</w:t>
      </w:r>
      <w:r w:rsidR="00AC50F0">
        <w:rPr>
          <w:rFonts w:ascii="標楷體" w:eastAsia="標楷體" w:hAnsi="標楷體" w:cs="細明體" w:hint="eastAsia"/>
          <w:kern w:val="0"/>
        </w:rPr>
        <w:t>證券櫃檯買賣</w:t>
      </w:r>
      <w:r w:rsidR="00543D22">
        <w:rPr>
          <w:rFonts w:ascii="標楷體" w:eastAsia="標楷體" w:hAnsi="標楷體" w:cs="細明體" w:hint="eastAsia"/>
          <w:kern w:val="0"/>
          <w:szCs w:val="24"/>
        </w:rPr>
        <w:t>中心使用</w:t>
      </w:r>
      <w:r w:rsidR="00A71CF5" w:rsidRPr="00150417">
        <w:rPr>
          <w:rFonts w:ascii="標楷體" w:eastAsia="標楷體" w:hAnsi="標楷體" w:cs="細明體" w:hint="eastAsia"/>
          <w:kern w:val="0"/>
          <w:szCs w:val="24"/>
        </w:rPr>
        <w:t>，應符合個人資料保護法之規定。</w:t>
      </w:r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Pr="00150417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辦法第17條)</w:t>
      </w:r>
    </w:p>
    <w:p w:rsidR="00A71CF5" w:rsidRDefault="00A71CF5" w:rsidP="00BB6CC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A71CF5">
        <w:rPr>
          <w:rFonts w:ascii="標楷體" w:eastAsia="標楷體" w:hAnsi="標楷體" w:cs="細明體" w:hint="eastAsia"/>
          <w:kern w:val="0"/>
          <w:szCs w:val="24"/>
        </w:rPr>
        <w:t>合約終止條件</w:t>
      </w:r>
      <w:r w:rsidR="00BB6CCB" w:rsidRPr="00BB6CCB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A71CF5" w:rsidRPr="00B3595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  <w:shd w:val="pct15" w:color="auto" w:fill="FFFFFF"/>
        </w:rPr>
      </w:pPr>
      <w:r w:rsidRPr="00B35955">
        <w:rPr>
          <w:rFonts w:ascii="標楷體" w:eastAsia="標楷體" w:hAnsi="標楷體" w:cs="細明體" w:hint="eastAsia"/>
          <w:kern w:val="0"/>
          <w:szCs w:val="24"/>
        </w:rPr>
        <w:t>違約之處置方式。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辦法第19條)</w:t>
      </w:r>
    </w:p>
    <w:p w:rsidR="00A71CF5" w:rsidRDefault="00A71CF5" w:rsidP="00A71CF5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A71CF5">
        <w:rPr>
          <w:rFonts w:ascii="標楷體" w:eastAsia="標楷體" w:hAnsi="標楷體" w:cs="細明體" w:hint="eastAsia"/>
          <w:kern w:val="0"/>
          <w:szCs w:val="24"/>
        </w:rPr>
        <w:t>依據法令或</w:t>
      </w:r>
      <w:r w:rsidR="00AC50F0">
        <w:rPr>
          <w:rFonts w:ascii="標楷體" w:eastAsia="標楷體" w:hAnsi="標楷體" w:cs="細明體" w:hint="eastAsia"/>
          <w:kern w:val="0"/>
        </w:rPr>
        <w:t>證券櫃檯買賣</w:t>
      </w:r>
      <w:r w:rsidRPr="00A71CF5">
        <w:rPr>
          <w:rFonts w:ascii="標楷體" w:eastAsia="標楷體" w:hAnsi="標楷體" w:cs="細明體" w:hint="eastAsia"/>
          <w:kern w:val="0"/>
          <w:szCs w:val="24"/>
        </w:rPr>
        <w:t>中心要求提供資訊或進行調查時，公司不得拒絕。</w:t>
      </w:r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(</w:t>
      </w:r>
      <w:proofErr w:type="gramStart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群募管理</w:t>
      </w:r>
      <w:proofErr w:type="gramEnd"/>
      <w:r w:rsidR="00B35955" w:rsidRPr="00B35955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辦法第19條)</w:t>
      </w:r>
    </w:p>
    <w:p w:rsidR="009A75AA" w:rsidRPr="00F977FF" w:rsidRDefault="00A71CF5" w:rsidP="00BB6CCB">
      <w:pPr>
        <w:pStyle w:val="a3"/>
        <w:numPr>
          <w:ilvl w:val="0"/>
          <w:numId w:val="1"/>
        </w:numPr>
        <w:spacing w:line="400" w:lineRule="exact"/>
        <w:ind w:leftChars="0"/>
        <w:jc w:val="both"/>
      </w:pPr>
      <w:r w:rsidRPr="00A71CF5">
        <w:rPr>
          <w:rFonts w:ascii="標楷體" w:eastAsia="標楷體" w:hAnsi="標楷體" w:cs="細明體" w:hint="eastAsia"/>
          <w:kern w:val="0"/>
          <w:szCs w:val="24"/>
        </w:rPr>
        <w:t>準據法與管轄</w:t>
      </w:r>
      <w:r w:rsidR="00BB6CCB" w:rsidRPr="00BB6CCB">
        <w:rPr>
          <w:rFonts w:ascii="標楷體" w:eastAsia="標楷體" w:hAnsi="標楷體" w:cs="細明體" w:hint="eastAsia"/>
          <w:kern w:val="0"/>
          <w:szCs w:val="24"/>
        </w:rPr>
        <w:t>。</w:t>
      </w:r>
    </w:p>
    <w:sectPr w:rsidR="009A75AA" w:rsidRPr="00F977FF" w:rsidSect="00150417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3D6"/>
    <w:multiLevelType w:val="hybridMultilevel"/>
    <w:tmpl w:val="6CEE5556"/>
    <w:lvl w:ilvl="0" w:tplc="2034B09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AA"/>
    <w:rsid w:val="000263B6"/>
    <w:rsid w:val="00026709"/>
    <w:rsid w:val="000647FD"/>
    <w:rsid w:val="00066745"/>
    <w:rsid w:val="000977EF"/>
    <w:rsid w:val="00150417"/>
    <w:rsid w:val="00160C73"/>
    <w:rsid w:val="001C6720"/>
    <w:rsid w:val="002D2669"/>
    <w:rsid w:val="00307B22"/>
    <w:rsid w:val="00324D1D"/>
    <w:rsid w:val="004535F4"/>
    <w:rsid w:val="00543D22"/>
    <w:rsid w:val="005D2211"/>
    <w:rsid w:val="006079FE"/>
    <w:rsid w:val="006447E3"/>
    <w:rsid w:val="006B1794"/>
    <w:rsid w:val="006F6C46"/>
    <w:rsid w:val="008627C4"/>
    <w:rsid w:val="00930D22"/>
    <w:rsid w:val="00952FAF"/>
    <w:rsid w:val="009A75AA"/>
    <w:rsid w:val="009B17FC"/>
    <w:rsid w:val="00A71CF5"/>
    <w:rsid w:val="00AC50F0"/>
    <w:rsid w:val="00B22A72"/>
    <w:rsid w:val="00B35955"/>
    <w:rsid w:val="00BA6C64"/>
    <w:rsid w:val="00BB6CCB"/>
    <w:rsid w:val="00CD7FD1"/>
    <w:rsid w:val="00D37D65"/>
    <w:rsid w:val="00E0656E"/>
    <w:rsid w:val="00E252D2"/>
    <w:rsid w:val="00E77359"/>
    <w:rsid w:val="00E778A2"/>
    <w:rsid w:val="00EB3262"/>
    <w:rsid w:val="00EC0471"/>
    <w:rsid w:val="00F977FF"/>
    <w:rsid w:val="00F97FFD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A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B17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B17FC"/>
  </w:style>
  <w:style w:type="character" w:customStyle="1" w:styleId="a6">
    <w:name w:val="註解文字 字元"/>
    <w:basedOn w:val="a0"/>
    <w:link w:val="a5"/>
    <w:uiPriority w:val="99"/>
    <w:semiHidden/>
    <w:rsid w:val="009B17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9B17F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B17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17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A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B17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B17FC"/>
  </w:style>
  <w:style w:type="character" w:customStyle="1" w:styleId="a6">
    <w:name w:val="註解文字 字元"/>
    <w:basedOn w:val="a0"/>
    <w:link w:val="a5"/>
    <w:uiPriority w:val="99"/>
    <w:semiHidden/>
    <w:rsid w:val="009B17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9B17F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B17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1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李世欽</dc:creator>
  <cp:lastModifiedBy>楊智翔</cp:lastModifiedBy>
  <cp:revision>4</cp:revision>
  <cp:lastPrinted>2015-05-06T06:15:00Z</cp:lastPrinted>
  <dcterms:created xsi:type="dcterms:W3CDTF">2015-05-05T08:22:00Z</dcterms:created>
  <dcterms:modified xsi:type="dcterms:W3CDTF">2015-05-06T06:15:00Z</dcterms:modified>
</cp:coreProperties>
</file>