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EC" w:rsidRPr="00751517" w:rsidRDefault="00B61EEC" w:rsidP="00B61EEC">
      <w:pPr>
        <w:pStyle w:val="1"/>
        <w:rPr>
          <w:rFonts w:hAnsi="Times New Roman"/>
        </w:rPr>
      </w:pPr>
      <w:bookmarkStart w:id="0" w:name="_Toc292591384"/>
      <w:r w:rsidRPr="00B61EEC">
        <w:rPr>
          <w:rFonts w:hAnsi="Times New Roman" w:cs="新細明體" w:hint="eastAsia"/>
          <w:spacing w:val="6"/>
          <w:w w:val="51"/>
        </w:rPr>
        <w:t>十一、財</w:t>
      </w:r>
      <w:r w:rsidRPr="00B61EEC">
        <w:rPr>
          <w:rFonts w:hAnsi="Times New Roman" w:cs="新細明體"/>
          <w:spacing w:val="6"/>
          <w:w w:val="51"/>
        </w:rPr>
        <w:t>團法人中華民國證券櫃檯買賣</w:t>
      </w:r>
      <w:r w:rsidRPr="00B61EEC">
        <w:rPr>
          <w:rFonts w:hAnsi="Times New Roman"/>
          <w:spacing w:val="6"/>
          <w:w w:val="51"/>
        </w:rPr>
        <w:t>中心</w:t>
      </w:r>
      <w:r w:rsidRPr="00B61EEC">
        <w:rPr>
          <w:spacing w:val="6"/>
          <w:w w:val="51"/>
        </w:rPr>
        <w:t>證券商營業處所買賣有價證券</w:t>
      </w:r>
      <w:bookmarkStart w:id="1" w:name="_GoBack"/>
      <w:r w:rsidRPr="00B61EEC">
        <w:rPr>
          <w:spacing w:val="6"/>
          <w:w w:val="51"/>
        </w:rPr>
        <w:t>業務規則第三十五條第八項規定補充事項</w:t>
      </w:r>
      <w:r w:rsidRPr="00B61EEC">
        <w:rPr>
          <w:rFonts w:hint="eastAsia"/>
          <w:spacing w:val="6"/>
          <w:w w:val="51"/>
        </w:rPr>
        <w:t>規章名稱</w:t>
      </w:r>
      <w:r w:rsidRPr="00B61EEC">
        <w:rPr>
          <w:rFonts w:hAnsi="Times New Roman" w:hint="eastAsia"/>
          <w:spacing w:val="6"/>
          <w:w w:val="51"/>
        </w:rPr>
        <w:t>修正對照</w:t>
      </w:r>
      <w:r w:rsidRPr="00B61EEC">
        <w:rPr>
          <w:rFonts w:hAnsi="Times New Roman" w:hint="eastAsia"/>
          <w:spacing w:val="-9"/>
          <w:w w:val="51"/>
        </w:rPr>
        <w:t>表</w:t>
      </w:r>
      <w:bookmarkEnd w:id="0"/>
      <w:bookmarkEnd w:id="1"/>
    </w:p>
    <w:tbl>
      <w:tblPr>
        <w:tblW w:w="10319" w:type="dxa"/>
        <w:jc w:val="center"/>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39"/>
        <w:gridCol w:w="3440"/>
        <w:gridCol w:w="3440"/>
      </w:tblGrid>
      <w:tr w:rsidR="00B61EEC" w:rsidRPr="00751517" w:rsidTr="007416FD">
        <w:trPr>
          <w:tblHeader/>
          <w:jc w:val="center"/>
        </w:trPr>
        <w:tc>
          <w:tcPr>
            <w:tcW w:w="3439" w:type="dxa"/>
            <w:tcBorders>
              <w:top w:val="single" w:sz="12" w:space="0" w:color="auto"/>
              <w:bottom w:val="double" w:sz="4" w:space="0" w:color="auto"/>
            </w:tcBorders>
          </w:tcPr>
          <w:p w:rsidR="00B61EEC" w:rsidRPr="00751517" w:rsidRDefault="00B61EEC" w:rsidP="007416FD">
            <w:pPr>
              <w:jc w:val="center"/>
              <w:rPr>
                <w:rFonts w:ascii="Times New Roman" w:eastAsia="標楷體" w:hAnsi="Times New Roman"/>
                <w:bCs/>
                <w:szCs w:val="24"/>
              </w:rPr>
            </w:pPr>
            <w:r w:rsidRPr="00751517">
              <w:rPr>
                <w:rFonts w:ascii="Times New Roman" w:eastAsia="標楷體" w:hAnsi="標楷體" w:hint="eastAsia"/>
                <w:bCs/>
                <w:szCs w:val="24"/>
              </w:rPr>
              <w:t>修正規章名稱</w:t>
            </w:r>
          </w:p>
        </w:tc>
        <w:tc>
          <w:tcPr>
            <w:tcW w:w="3440" w:type="dxa"/>
            <w:tcBorders>
              <w:top w:val="single" w:sz="12" w:space="0" w:color="auto"/>
              <w:bottom w:val="double" w:sz="4" w:space="0" w:color="auto"/>
            </w:tcBorders>
          </w:tcPr>
          <w:p w:rsidR="00B61EEC" w:rsidRPr="00751517" w:rsidRDefault="00B61EEC" w:rsidP="007416FD">
            <w:pPr>
              <w:jc w:val="center"/>
              <w:rPr>
                <w:rFonts w:ascii="Times New Roman" w:eastAsia="標楷體" w:hAnsi="Times New Roman"/>
                <w:bCs/>
                <w:szCs w:val="24"/>
              </w:rPr>
            </w:pPr>
            <w:r w:rsidRPr="00751517">
              <w:rPr>
                <w:rFonts w:ascii="Times New Roman" w:eastAsia="標楷體" w:hAnsi="標楷體" w:hint="eastAsia"/>
                <w:bCs/>
                <w:szCs w:val="24"/>
              </w:rPr>
              <w:t>現行規章名稱</w:t>
            </w:r>
          </w:p>
        </w:tc>
        <w:tc>
          <w:tcPr>
            <w:tcW w:w="3440" w:type="dxa"/>
            <w:tcBorders>
              <w:top w:val="single" w:sz="12" w:space="0" w:color="auto"/>
              <w:bottom w:val="double" w:sz="4" w:space="0" w:color="auto"/>
            </w:tcBorders>
          </w:tcPr>
          <w:p w:rsidR="00B61EEC" w:rsidRPr="00751517" w:rsidRDefault="00B61EEC" w:rsidP="007416FD">
            <w:pPr>
              <w:jc w:val="center"/>
              <w:rPr>
                <w:rFonts w:ascii="Times New Roman" w:eastAsia="標楷體" w:hAnsi="Times New Roman"/>
                <w:bCs/>
                <w:szCs w:val="24"/>
              </w:rPr>
            </w:pPr>
            <w:r w:rsidRPr="00751517">
              <w:rPr>
                <w:rFonts w:ascii="Times New Roman" w:eastAsia="標楷體" w:hAnsi="標楷體" w:hint="eastAsia"/>
                <w:bCs/>
                <w:szCs w:val="24"/>
              </w:rPr>
              <w:t>說明</w:t>
            </w:r>
          </w:p>
        </w:tc>
      </w:tr>
      <w:tr w:rsidR="00B61EEC" w:rsidRPr="00751517" w:rsidTr="007416FD">
        <w:trPr>
          <w:jc w:val="center"/>
        </w:trPr>
        <w:tc>
          <w:tcPr>
            <w:tcW w:w="3439" w:type="dxa"/>
          </w:tcPr>
          <w:p w:rsidR="00B61EEC" w:rsidRPr="00751517" w:rsidRDefault="00B61EEC" w:rsidP="007416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jc w:val="both"/>
              <w:rPr>
                <w:rFonts w:ascii="Times New Roman" w:eastAsia="標楷體" w:hAnsi="Times New Roman"/>
                <w:color w:val="auto"/>
                <w:sz w:val="24"/>
                <w:szCs w:val="24"/>
              </w:rPr>
            </w:pPr>
            <w:r w:rsidRPr="00751517">
              <w:rPr>
                <w:rFonts w:ascii="Times New Roman" w:eastAsia="標楷體" w:hAnsi="Times New Roman"/>
                <w:color w:val="auto"/>
                <w:sz w:val="24"/>
                <w:szCs w:val="24"/>
              </w:rPr>
              <w:t>財團法人中華民國證券櫃檯買賣中心證券商營業處所買賣有價證券業務規則第三十五條第</w:t>
            </w:r>
            <w:r w:rsidRPr="00751517">
              <w:rPr>
                <w:rFonts w:ascii="Times New Roman" w:eastAsia="標楷體" w:hAnsi="Times New Roman" w:hint="eastAsia"/>
                <w:b/>
                <w:bCs/>
                <w:color w:val="auto"/>
                <w:sz w:val="24"/>
                <w:szCs w:val="24"/>
                <w:u w:val="single"/>
              </w:rPr>
              <w:t>九</w:t>
            </w:r>
            <w:r w:rsidRPr="00751517">
              <w:rPr>
                <w:rFonts w:ascii="Times New Roman" w:eastAsia="標楷體" w:hAnsi="Times New Roman"/>
                <w:color w:val="auto"/>
                <w:sz w:val="24"/>
                <w:szCs w:val="24"/>
              </w:rPr>
              <w:t>項規定補充事項</w:t>
            </w:r>
          </w:p>
        </w:tc>
        <w:tc>
          <w:tcPr>
            <w:tcW w:w="3440" w:type="dxa"/>
          </w:tcPr>
          <w:p w:rsidR="00B61EEC" w:rsidRPr="00751517" w:rsidRDefault="00B61EEC" w:rsidP="007416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jc w:val="both"/>
              <w:rPr>
                <w:rFonts w:ascii="Times New Roman" w:eastAsia="標楷體" w:hAnsi="Times New Roman"/>
                <w:color w:val="auto"/>
                <w:sz w:val="24"/>
                <w:szCs w:val="24"/>
              </w:rPr>
            </w:pPr>
            <w:r w:rsidRPr="00751517">
              <w:rPr>
                <w:rFonts w:ascii="Times New Roman" w:eastAsia="標楷體" w:hAnsi="Times New Roman"/>
                <w:color w:val="auto"/>
                <w:sz w:val="24"/>
                <w:szCs w:val="24"/>
              </w:rPr>
              <w:t>財團法人中華民國證券櫃檯買賣中心證券商營業處所買賣有價證券業務規則第三十五條第</w:t>
            </w:r>
            <w:r w:rsidRPr="00751517">
              <w:rPr>
                <w:rFonts w:ascii="Times New Roman" w:eastAsia="標楷體" w:hAnsi="Times New Roman"/>
                <w:b/>
                <w:bCs/>
                <w:color w:val="auto"/>
                <w:sz w:val="24"/>
                <w:szCs w:val="24"/>
                <w:u w:val="single"/>
              </w:rPr>
              <w:t>八</w:t>
            </w:r>
            <w:r w:rsidRPr="00751517">
              <w:rPr>
                <w:rFonts w:ascii="Times New Roman" w:eastAsia="標楷體" w:hAnsi="Times New Roman"/>
                <w:color w:val="auto"/>
                <w:sz w:val="24"/>
                <w:szCs w:val="24"/>
              </w:rPr>
              <w:t>項規定補充事項</w:t>
            </w:r>
          </w:p>
        </w:tc>
        <w:tc>
          <w:tcPr>
            <w:tcW w:w="3440" w:type="dxa"/>
          </w:tcPr>
          <w:p w:rsidR="00B61EEC" w:rsidRPr="00751517" w:rsidRDefault="00B61EEC" w:rsidP="007416FD">
            <w:pPr>
              <w:widowControl/>
              <w:ind w:left="5" w:hangingChars="2" w:hanging="5"/>
              <w:jc w:val="both"/>
              <w:rPr>
                <w:rFonts w:ascii="Times New Roman" w:eastAsia="標楷體" w:hAnsi="標楷體"/>
                <w:szCs w:val="24"/>
              </w:rPr>
            </w:pPr>
            <w:r w:rsidRPr="00751517">
              <w:rPr>
                <w:rFonts w:ascii="Times New Roman" w:eastAsia="標楷體" w:hAnsi="Times New Roman" w:hint="eastAsia"/>
                <w:szCs w:val="24"/>
              </w:rPr>
              <w:t>配合</w:t>
            </w:r>
            <w:r w:rsidRPr="00751517">
              <w:rPr>
                <w:rFonts w:ascii="Times New Roman" w:eastAsia="標楷體" w:hAnsi="細明體" w:cs="細明體"/>
                <w:kern w:val="0"/>
                <w:szCs w:val="24"/>
              </w:rPr>
              <w:t>本中心證券商營業處所買賣有價證券業務規則</w:t>
            </w:r>
            <w:r w:rsidRPr="00751517">
              <w:rPr>
                <w:rFonts w:ascii="Times New Roman" w:eastAsia="標楷體" w:hAnsi="細明體" w:cs="細明體" w:hint="eastAsia"/>
                <w:kern w:val="0"/>
                <w:szCs w:val="24"/>
              </w:rPr>
              <w:t>第三十五條之項次調整，</w:t>
            </w:r>
            <w:proofErr w:type="gramStart"/>
            <w:r w:rsidRPr="00751517">
              <w:rPr>
                <w:rFonts w:ascii="Times New Roman" w:eastAsia="標楷體" w:hAnsi="標楷體" w:hint="eastAsia"/>
                <w:szCs w:val="24"/>
              </w:rPr>
              <w:t>爰</w:t>
            </w:r>
            <w:proofErr w:type="gramEnd"/>
            <w:r w:rsidRPr="00751517">
              <w:rPr>
                <w:rFonts w:ascii="Times New Roman" w:eastAsia="標楷體" w:hAnsi="標楷體" w:hint="eastAsia"/>
                <w:szCs w:val="24"/>
              </w:rPr>
              <w:t>修正本規章名稱。</w:t>
            </w:r>
          </w:p>
        </w:tc>
      </w:tr>
    </w:tbl>
    <w:p w:rsidR="00B61EEC" w:rsidRPr="00137DD2" w:rsidRDefault="00B61EEC" w:rsidP="00B61EEC">
      <w:pPr>
        <w:spacing w:line="20" w:lineRule="exact"/>
      </w:pPr>
    </w:p>
    <w:p w:rsidR="00B61EEC" w:rsidRPr="007C7D55" w:rsidRDefault="00B61EEC" w:rsidP="00B61EEC"/>
    <w:p w:rsidR="00813AA7" w:rsidRPr="00B61EEC" w:rsidRDefault="00B61EEC"/>
    <w:sectPr w:rsidR="00813AA7" w:rsidRPr="00B61EEC" w:rsidSect="00B61EEC">
      <w:pgSz w:w="11906" w:h="16838"/>
      <w:pgMar w:top="680"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EC"/>
    <w:rsid w:val="00B61EEC"/>
    <w:rsid w:val="00C26138"/>
    <w:rsid w:val="00ED2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EC"/>
    <w:pPr>
      <w:widowControl w:val="0"/>
    </w:pPr>
    <w:rPr>
      <w:rFonts w:ascii="Calibri" w:eastAsia="新細明體" w:hAnsi="Calibri" w:cs="Times New Roman"/>
    </w:rPr>
  </w:style>
  <w:style w:type="paragraph" w:styleId="1">
    <w:name w:val="heading 1"/>
    <w:basedOn w:val="a"/>
    <w:next w:val="a"/>
    <w:link w:val="10"/>
    <w:qFormat/>
    <w:rsid w:val="00B61EEC"/>
    <w:pPr>
      <w:keepNext/>
      <w:adjustRightInd w:val="0"/>
      <w:spacing w:afterLines="25" w:after="90" w:line="360" w:lineRule="exact"/>
      <w:jc w:val="center"/>
      <w:textAlignment w:val="baseline"/>
      <w:outlineLvl w:val="0"/>
    </w:pPr>
    <w:rPr>
      <w:rFonts w:ascii="Times New Roman" w:eastAsia="標楷體" w:hAnsi="Arial"/>
      <w:b/>
      <w:bCs/>
      <w:w w:val="67"/>
      <w:kern w:val="0"/>
      <w:sz w:val="32"/>
      <w:szCs w:val="32"/>
      <w:fitText w:val="10319" w:id="-3807749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61EEC"/>
    <w:rPr>
      <w:rFonts w:ascii="Times New Roman" w:eastAsia="標楷體" w:hAnsi="Arial" w:cs="Times New Roman"/>
      <w:b/>
      <w:bCs/>
      <w:w w:val="67"/>
      <w:kern w:val="0"/>
      <w:sz w:val="32"/>
      <w:szCs w:val="32"/>
      <w:fitText w:val="10319" w:id="-380774912"/>
    </w:rPr>
  </w:style>
  <w:style w:type="paragraph" w:styleId="HTML">
    <w:name w:val="HTML Preformatted"/>
    <w:basedOn w:val="a"/>
    <w:link w:val="HTML0"/>
    <w:uiPriority w:val="99"/>
    <w:rsid w:val="00B61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basedOn w:val="a0"/>
    <w:link w:val="HTML"/>
    <w:uiPriority w:val="99"/>
    <w:rsid w:val="00B61EEC"/>
    <w:rPr>
      <w:rFonts w:ascii="細明體" w:eastAsia="細明體" w:hAnsi="Courier New" w:cs="Times New Roman"/>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EC"/>
    <w:pPr>
      <w:widowControl w:val="0"/>
    </w:pPr>
    <w:rPr>
      <w:rFonts w:ascii="Calibri" w:eastAsia="新細明體" w:hAnsi="Calibri" w:cs="Times New Roman"/>
    </w:rPr>
  </w:style>
  <w:style w:type="paragraph" w:styleId="1">
    <w:name w:val="heading 1"/>
    <w:basedOn w:val="a"/>
    <w:next w:val="a"/>
    <w:link w:val="10"/>
    <w:qFormat/>
    <w:rsid w:val="00B61EEC"/>
    <w:pPr>
      <w:keepNext/>
      <w:adjustRightInd w:val="0"/>
      <w:spacing w:afterLines="25" w:after="90" w:line="360" w:lineRule="exact"/>
      <w:jc w:val="center"/>
      <w:textAlignment w:val="baseline"/>
      <w:outlineLvl w:val="0"/>
    </w:pPr>
    <w:rPr>
      <w:rFonts w:ascii="Times New Roman" w:eastAsia="標楷體" w:hAnsi="Arial"/>
      <w:b/>
      <w:bCs/>
      <w:w w:val="67"/>
      <w:kern w:val="0"/>
      <w:sz w:val="32"/>
      <w:szCs w:val="32"/>
      <w:fitText w:val="10319" w:id="-3807749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61EEC"/>
    <w:rPr>
      <w:rFonts w:ascii="Times New Roman" w:eastAsia="標楷體" w:hAnsi="Arial" w:cs="Times New Roman"/>
      <w:b/>
      <w:bCs/>
      <w:w w:val="67"/>
      <w:kern w:val="0"/>
      <w:sz w:val="32"/>
      <w:szCs w:val="32"/>
      <w:fitText w:val="10319" w:id="-380774912"/>
    </w:rPr>
  </w:style>
  <w:style w:type="paragraph" w:styleId="HTML">
    <w:name w:val="HTML Preformatted"/>
    <w:basedOn w:val="a"/>
    <w:link w:val="HTML0"/>
    <w:uiPriority w:val="99"/>
    <w:rsid w:val="00B61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basedOn w:val="a0"/>
    <w:link w:val="HTML"/>
    <w:uiPriority w:val="99"/>
    <w:rsid w:val="00B61EEC"/>
    <w:rPr>
      <w:rFonts w:ascii="細明體" w:eastAsia="細明體" w:hAnsi="Courier New"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張翠蘭</dc:creator>
  <cp:lastModifiedBy>張翠蘭</cp:lastModifiedBy>
  <cp:revision>1</cp:revision>
  <dcterms:created xsi:type="dcterms:W3CDTF">2015-06-18T03:01:00Z</dcterms:created>
  <dcterms:modified xsi:type="dcterms:W3CDTF">2015-06-18T03:03:00Z</dcterms:modified>
</cp:coreProperties>
</file>