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5B1" w:rsidRPr="00A46FA9" w:rsidRDefault="001765B1" w:rsidP="00E379DB">
      <w:pPr>
        <w:pStyle w:val="Web"/>
        <w:spacing w:before="0" w:beforeAutospacing="0" w:afterLines="50" w:after="180" w:afterAutospacing="0" w:line="420" w:lineRule="exact"/>
        <w:jc w:val="center"/>
        <w:rPr>
          <w:rFonts w:asciiTheme="majorHAnsi" w:eastAsia="標楷體" w:hAnsiTheme="majorHAnsi" w:cstheme="majorHAnsi"/>
          <w:b/>
          <w:color w:val="000000" w:themeColor="text1"/>
          <w:u w:val="single"/>
        </w:rPr>
      </w:pPr>
      <w:r w:rsidRPr="00A46FA9">
        <w:rPr>
          <w:rFonts w:asciiTheme="majorHAnsi" w:eastAsia="標楷體" w:hAnsiTheme="majorHAnsi" w:cstheme="majorHAnsi"/>
          <w:b/>
          <w:color w:val="000000" w:themeColor="text1"/>
          <w:u w:val="single"/>
        </w:rPr>
        <w:t>102</w:t>
      </w:r>
      <w:r w:rsidRPr="00A46FA9">
        <w:rPr>
          <w:rFonts w:asciiTheme="majorHAnsi" w:eastAsia="標楷體" w:hAnsiTheme="majorHAnsi" w:cstheme="majorHAnsi"/>
          <w:b/>
          <w:color w:val="000000" w:themeColor="text1"/>
          <w:u w:val="single"/>
        </w:rPr>
        <w:t>年</w:t>
      </w:r>
      <w:r w:rsidRPr="00A46FA9">
        <w:rPr>
          <w:rFonts w:asciiTheme="majorHAnsi" w:eastAsia="標楷體" w:hAnsiTheme="majorHAnsi" w:cstheme="majorHAnsi"/>
          <w:b/>
          <w:color w:val="000000" w:themeColor="text1"/>
          <w:u w:val="single"/>
        </w:rPr>
        <w:t>1</w:t>
      </w:r>
      <w:r w:rsidRPr="00A46FA9">
        <w:rPr>
          <w:rFonts w:asciiTheme="majorHAnsi" w:eastAsia="標楷體" w:hAnsiTheme="majorHAnsi" w:cstheme="majorHAnsi"/>
          <w:b/>
          <w:color w:val="000000" w:themeColor="text1"/>
          <w:u w:val="single"/>
        </w:rPr>
        <w:t>月</w:t>
      </w:r>
      <w:r w:rsidRPr="00A46FA9">
        <w:rPr>
          <w:rFonts w:asciiTheme="majorHAnsi" w:eastAsia="標楷體" w:hAnsiTheme="majorHAnsi" w:cstheme="majorHAnsi"/>
          <w:b/>
          <w:color w:val="000000" w:themeColor="text1"/>
          <w:u w:val="single"/>
        </w:rPr>
        <w:t>7</w:t>
      </w:r>
      <w:r w:rsidR="00E379DB" w:rsidRPr="00A46FA9">
        <w:rPr>
          <w:rFonts w:asciiTheme="majorHAnsi" w:eastAsia="標楷體" w:hAnsiTheme="majorHAnsi" w:cstheme="majorHAnsi"/>
          <w:b/>
          <w:color w:val="000000" w:themeColor="text1"/>
          <w:u w:val="single"/>
        </w:rPr>
        <w:t>日起</w:t>
      </w:r>
      <w:r w:rsidR="00E379DB" w:rsidRPr="00A46FA9">
        <w:rPr>
          <w:rFonts w:asciiTheme="majorHAnsi" w:eastAsia="標楷體" w:hAnsiTheme="majorHAnsi" w:cstheme="majorHAnsi" w:hint="eastAsia"/>
          <w:b/>
          <w:color w:val="000000" w:themeColor="text1"/>
          <w:u w:val="single"/>
        </w:rPr>
        <w:t>修正</w:t>
      </w:r>
      <w:proofErr w:type="gramStart"/>
      <w:r w:rsidR="00E379DB" w:rsidRPr="00A46FA9">
        <w:rPr>
          <w:rFonts w:asciiTheme="majorHAnsi" w:eastAsia="標楷體" w:hAnsiTheme="majorHAnsi" w:cstheme="majorHAnsi"/>
          <w:b/>
          <w:color w:val="000000" w:themeColor="text1"/>
          <w:u w:val="single"/>
        </w:rPr>
        <w:t>之興櫃</w:t>
      </w:r>
      <w:proofErr w:type="gramEnd"/>
      <w:r w:rsidR="00E379DB" w:rsidRPr="00A46FA9">
        <w:rPr>
          <w:rFonts w:asciiTheme="majorHAnsi" w:eastAsia="標楷體" w:hAnsiTheme="majorHAnsi" w:cstheme="majorHAnsi"/>
          <w:b/>
          <w:color w:val="000000" w:themeColor="text1"/>
          <w:u w:val="single"/>
        </w:rPr>
        <w:t>股票交易制度</w:t>
      </w:r>
    </w:p>
    <w:p w:rsidR="001765B1" w:rsidRPr="00A46FA9" w:rsidRDefault="001765B1" w:rsidP="001765B1">
      <w:pPr>
        <w:pStyle w:val="Web"/>
        <w:numPr>
          <w:ilvl w:val="0"/>
          <w:numId w:val="1"/>
        </w:numPr>
        <w:spacing w:before="0" w:beforeAutospacing="0" w:after="0" w:afterAutospacing="0" w:line="420" w:lineRule="exact"/>
        <w:rPr>
          <w:rFonts w:asciiTheme="majorHAnsi" w:eastAsia="標楷體" w:hAnsiTheme="majorHAnsi" w:cstheme="majorHAnsi"/>
          <w:color w:val="000000" w:themeColor="text1"/>
        </w:rPr>
      </w:pPr>
      <w:r w:rsidRPr="00A46FA9">
        <w:rPr>
          <w:rFonts w:asciiTheme="majorHAnsi" w:eastAsia="標楷體" w:hAnsiTheme="majorHAnsi" w:cstheme="majorHAnsi"/>
          <w:color w:val="000000" w:themeColor="text1"/>
        </w:rPr>
        <w:t>委託單分配原則：</w:t>
      </w:r>
    </w:p>
    <w:p w:rsidR="001765B1" w:rsidRPr="00A46FA9" w:rsidRDefault="001765B1" w:rsidP="001765B1">
      <w:pPr>
        <w:pStyle w:val="a3"/>
        <w:numPr>
          <w:ilvl w:val="1"/>
          <w:numId w:val="1"/>
        </w:numPr>
        <w:spacing w:line="420" w:lineRule="exact"/>
        <w:ind w:leftChars="0"/>
        <w:rPr>
          <w:rFonts w:asciiTheme="majorHAnsi" w:eastAsia="標楷體" w:hAnsiTheme="majorHAnsi" w:cstheme="majorHAnsi"/>
          <w:b/>
          <w:color w:val="000000" w:themeColor="text1"/>
          <w:kern w:val="0"/>
          <w:szCs w:val="24"/>
        </w:rPr>
      </w:pPr>
      <w:r w:rsidRPr="00A46FA9">
        <w:rPr>
          <w:rFonts w:asciiTheme="majorHAnsi" w:eastAsia="標楷體" w:hAnsiTheme="majorHAnsi" w:cstheme="majorHAnsi"/>
          <w:color w:val="000000" w:themeColor="text1"/>
          <w:kern w:val="0"/>
          <w:szCs w:val="24"/>
        </w:rPr>
        <w:t>到價委託單：優先分配予市場當時最佳報價（最高買進報價或最低賣出報價）之推薦證券商；報價價格相同者，則優先分配</w:t>
      </w:r>
      <w:proofErr w:type="gramStart"/>
      <w:r w:rsidRPr="00A46FA9">
        <w:rPr>
          <w:rFonts w:asciiTheme="majorHAnsi" w:eastAsia="標楷體" w:hAnsiTheme="majorHAnsi" w:cstheme="majorHAnsi"/>
          <w:color w:val="000000" w:themeColor="text1"/>
          <w:kern w:val="0"/>
          <w:szCs w:val="24"/>
        </w:rPr>
        <w:t>予報</w:t>
      </w:r>
      <w:proofErr w:type="gramEnd"/>
      <w:r w:rsidRPr="00A46FA9">
        <w:rPr>
          <w:rFonts w:asciiTheme="majorHAnsi" w:eastAsia="標楷體" w:hAnsiTheme="majorHAnsi" w:cstheme="majorHAnsi"/>
          <w:color w:val="000000" w:themeColor="text1"/>
          <w:kern w:val="0"/>
          <w:szCs w:val="24"/>
        </w:rPr>
        <w:t>價時間在前之推薦證券商，另投資人</w:t>
      </w:r>
      <w:r w:rsidRPr="00A46FA9">
        <w:rPr>
          <w:rFonts w:asciiTheme="majorHAnsi" w:eastAsia="標楷體" w:hAnsiTheme="majorHAnsi" w:cstheme="majorHAnsi"/>
          <w:color w:val="000000" w:themeColor="text1"/>
          <w:kern w:val="0"/>
          <w:szCs w:val="24"/>
        </w:rPr>
        <w:t>1000</w:t>
      </w:r>
      <w:r w:rsidRPr="00A46FA9">
        <w:rPr>
          <w:rFonts w:asciiTheme="majorHAnsi" w:eastAsia="標楷體" w:hAnsiTheme="majorHAnsi" w:cstheme="majorHAnsi"/>
          <w:color w:val="000000" w:themeColor="text1"/>
          <w:kern w:val="0"/>
          <w:szCs w:val="24"/>
        </w:rPr>
        <w:t>股之委託則不予</w:t>
      </w:r>
      <w:proofErr w:type="gramStart"/>
      <w:r w:rsidRPr="00A46FA9">
        <w:rPr>
          <w:rFonts w:asciiTheme="majorHAnsi" w:eastAsia="標楷體" w:hAnsiTheme="majorHAnsi" w:cstheme="majorHAnsi"/>
          <w:color w:val="000000" w:themeColor="text1"/>
          <w:kern w:val="0"/>
          <w:szCs w:val="24"/>
        </w:rPr>
        <w:t>分拆而部分</w:t>
      </w:r>
      <w:proofErr w:type="gramEnd"/>
      <w:r w:rsidRPr="00A46FA9">
        <w:rPr>
          <w:rFonts w:asciiTheme="majorHAnsi" w:eastAsia="標楷體" w:hAnsiTheme="majorHAnsi" w:cstheme="majorHAnsi"/>
          <w:color w:val="000000" w:themeColor="text1"/>
          <w:kern w:val="0"/>
          <w:szCs w:val="24"/>
        </w:rPr>
        <w:t>成交。</w:t>
      </w:r>
    </w:p>
    <w:p w:rsidR="001765B1" w:rsidRPr="00A46FA9" w:rsidRDefault="001765B1" w:rsidP="001765B1">
      <w:pPr>
        <w:pStyle w:val="a3"/>
        <w:numPr>
          <w:ilvl w:val="1"/>
          <w:numId w:val="1"/>
        </w:numPr>
        <w:spacing w:line="420" w:lineRule="exact"/>
        <w:ind w:leftChars="0"/>
        <w:rPr>
          <w:rFonts w:asciiTheme="majorHAnsi" w:eastAsia="標楷體" w:hAnsiTheme="majorHAnsi" w:cstheme="majorHAnsi"/>
          <w:color w:val="000000" w:themeColor="text1"/>
          <w:kern w:val="0"/>
          <w:szCs w:val="24"/>
        </w:rPr>
      </w:pPr>
      <w:r w:rsidRPr="00A46FA9">
        <w:rPr>
          <w:rFonts w:asciiTheme="majorHAnsi" w:eastAsia="標楷體" w:hAnsiTheme="majorHAnsi" w:cstheme="majorHAnsi"/>
          <w:color w:val="000000" w:themeColor="text1"/>
          <w:kern w:val="0"/>
          <w:szCs w:val="24"/>
        </w:rPr>
        <w:t>未到價委託單：推薦證券商無成交義</w:t>
      </w:r>
      <w:bookmarkStart w:id="0" w:name="_GoBack"/>
      <w:bookmarkEnd w:id="0"/>
      <w:r w:rsidRPr="00A46FA9">
        <w:rPr>
          <w:rFonts w:asciiTheme="majorHAnsi" w:eastAsia="標楷體" w:hAnsiTheme="majorHAnsi" w:cstheme="majorHAnsi"/>
          <w:color w:val="000000" w:themeColor="text1"/>
          <w:kern w:val="0"/>
          <w:szCs w:val="24"/>
        </w:rPr>
        <w:t>務，可視委託單之價量情形自行選擇是否點選成交，點選成交時以所點選之委託價格視為報價變更，且不得</w:t>
      </w:r>
      <w:proofErr w:type="gramStart"/>
      <w:r w:rsidRPr="00A46FA9">
        <w:rPr>
          <w:rFonts w:asciiTheme="majorHAnsi" w:eastAsia="標楷體" w:hAnsiTheme="majorHAnsi" w:cstheme="majorHAnsi"/>
          <w:color w:val="000000" w:themeColor="text1"/>
          <w:kern w:val="0"/>
          <w:szCs w:val="24"/>
        </w:rPr>
        <w:t>有穿價成交</w:t>
      </w:r>
      <w:proofErr w:type="gramEnd"/>
      <w:r w:rsidRPr="00A46FA9">
        <w:rPr>
          <w:rFonts w:asciiTheme="majorHAnsi" w:eastAsia="標楷體" w:hAnsiTheme="majorHAnsi" w:cstheme="majorHAnsi"/>
          <w:color w:val="000000" w:themeColor="text1"/>
          <w:kern w:val="0"/>
          <w:szCs w:val="24"/>
        </w:rPr>
        <w:t>之情形</w:t>
      </w:r>
      <w:r w:rsidRPr="00A46FA9">
        <w:rPr>
          <w:rFonts w:asciiTheme="majorHAnsi" w:eastAsia="標楷體" w:hAnsiTheme="majorHAnsi" w:cstheme="majorHAnsi" w:hint="eastAsia"/>
          <w:color w:val="000000" w:themeColor="text1"/>
          <w:kern w:val="0"/>
          <w:szCs w:val="24"/>
        </w:rPr>
        <w:t>，</w:t>
      </w:r>
      <w:r w:rsidRPr="00A46FA9">
        <w:rPr>
          <w:rFonts w:asciiTheme="majorHAnsi" w:eastAsia="標楷體" w:hAnsiTheme="majorHAnsi" w:cstheme="majorHAnsi"/>
          <w:color w:val="000000" w:themeColor="text1"/>
          <w:kern w:val="0"/>
          <w:szCs w:val="24"/>
        </w:rPr>
        <w:t>即推薦證券商對於點選當時之委託賣出（或買進）申報價格低於</w:t>
      </w:r>
      <w:r w:rsidRPr="00A46FA9">
        <w:rPr>
          <w:rFonts w:asciiTheme="majorHAnsi" w:eastAsia="標楷體" w:hAnsiTheme="majorHAnsi" w:cstheme="majorHAnsi"/>
          <w:color w:val="000000" w:themeColor="text1"/>
          <w:kern w:val="0"/>
          <w:szCs w:val="24"/>
        </w:rPr>
        <w:t>(</w:t>
      </w:r>
      <w:r w:rsidRPr="00A46FA9">
        <w:rPr>
          <w:rFonts w:asciiTheme="majorHAnsi" w:eastAsia="標楷體" w:hAnsiTheme="majorHAnsi" w:cstheme="majorHAnsi"/>
          <w:color w:val="000000" w:themeColor="text1"/>
          <w:kern w:val="0"/>
          <w:szCs w:val="24"/>
        </w:rPr>
        <w:t>或高於</w:t>
      </w:r>
      <w:r w:rsidRPr="00A46FA9">
        <w:rPr>
          <w:rFonts w:asciiTheme="majorHAnsi" w:eastAsia="標楷體" w:hAnsiTheme="majorHAnsi" w:cstheme="majorHAnsi"/>
          <w:color w:val="000000" w:themeColor="text1"/>
          <w:kern w:val="0"/>
          <w:szCs w:val="24"/>
        </w:rPr>
        <w:t>)</w:t>
      </w:r>
      <w:r w:rsidRPr="00A46FA9">
        <w:rPr>
          <w:rFonts w:asciiTheme="majorHAnsi" w:eastAsia="標楷體" w:hAnsiTheme="majorHAnsi" w:cstheme="majorHAnsi"/>
          <w:color w:val="000000" w:themeColor="text1"/>
          <w:kern w:val="0"/>
          <w:szCs w:val="24"/>
        </w:rPr>
        <w:t>其所點選之賣出（或買進）價格者，應全數予以成交；另推薦證券商點選未到價之委託單應認同該價格為合理之市價，故規範推薦證券商點選未到價之委託單時，視同其變更報價，亦應遵守報價之相關規範</w:t>
      </w:r>
      <w:r w:rsidRPr="00A46FA9">
        <w:rPr>
          <w:rFonts w:asciiTheme="majorHAnsi" w:eastAsia="標楷體" w:hAnsiTheme="majorHAnsi" w:cstheme="majorHAnsi"/>
          <w:color w:val="000000" w:themeColor="text1"/>
          <w:kern w:val="0"/>
          <w:szCs w:val="24"/>
        </w:rPr>
        <w:t>(</w:t>
      </w:r>
      <w:r w:rsidRPr="00A46FA9">
        <w:rPr>
          <w:rFonts w:asciiTheme="majorHAnsi" w:eastAsia="標楷體" w:hAnsiTheme="majorHAnsi" w:cstheme="majorHAnsi"/>
          <w:color w:val="000000" w:themeColor="text1"/>
          <w:kern w:val="0"/>
          <w:szCs w:val="24"/>
        </w:rPr>
        <w:t>包括報價</w:t>
      </w:r>
      <w:proofErr w:type="gramStart"/>
      <w:r w:rsidRPr="00A46FA9">
        <w:rPr>
          <w:rFonts w:asciiTheme="majorHAnsi" w:eastAsia="標楷體" w:hAnsiTheme="majorHAnsi" w:cstheme="majorHAnsi"/>
          <w:color w:val="000000" w:themeColor="text1"/>
          <w:kern w:val="0"/>
          <w:szCs w:val="24"/>
        </w:rPr>
        <w:t>價</w:t>
      </w:r>
      <w:proofErr w:type="gramEnd"/>
      <w:r w:rsidRPr="00A46FA9">
        <w:rPr>
          <w:rFonts w:asciiTheme="majorHAnsi" w:eastAsia="標楷體" w:hAnsiTheme="majorHAnsi" w:cstheme="majorHAnsi"/>
          <w:color w:val="000000" w:themeColor="text1"/>
          <w:kern w:val="0"/>
          <w:szCs w:val="24"/>
        </w:rPr>
        <w:t>差及最低報價數量</w:t>
      </w:r>
      <w:r w:rsidRPr="00A46FA9">
        <w:rPr>
          <w:rFonts w:asciiTheme="majorHAnsi" w:eastAsia="標楷體" w:hAnsiTheme="majorHAnsi" w:cstheme="majorHAnsi"/>
          <w:color w:val="000000" w:themeColor="text1"/>
          <w:kern w:val="0"/>
          <w:szCs w:val="24"/>
        </w:rPr>
        <w:t>)</w:t>
      </w:r>
      <w:r w:rsidRPr="00A46FA9">
        <w:rPr>
          <w:rFonts w:asciiTheme="majorHAnsi" w:eastAsia="標楷體" w:hAnsiTheme="majorHAnsi" w:cstheme="majorHAnsi"/>
          <w:color w:val="000000" w:themeColor="text1"/>
          <w:kern w:val="0"/>
          <w:szCs w:val="24"/>
        </w:rPr>
        <w:t>。</w:t>
      </w:r>
    </w:p>
    <w:p w:rsidR="001765B1" w:rsidRPr="00A46FA9" w:rsidRDefault="001765B1" w:rsidP="001765B1">
      <w:pPr>
        <w:pStyle w:val="a3"/>
        <w:numPr>
          <w:ilvl w:val="1"/>
          <w:numId w:val="1"/>
        </w:numPr>
        <w:spacing w:line="420" w:lineRule="exact"/>
        <w:ind w:leftChars="0"/>
        <w:rPr>
          <w:rFonts w:asciiTheme="majorHAnsi" w:eastAsia="標楷體" w:hAnsiTheme="majorHAnsi" w:cstheme="majorHAnsi"/>
          <w:color w:val="000000" w:themeColor="text1"/>
          <w:kern w:val="0"/>
          <w:szCs w:val="24"/>
        </w:rPr>
      </w:pPr>
      <w:r w:rsidRPr="00A46FA9">
        <w:rPr>
          <w:rFonts w:asciiTheme="majorHAnsi" w:eastAsia="標楷體" w:hAnsiTheme="majorHAnsi" w:cstheme="majorHAnsi"/>
          <w:color w:val="000000" w:themeColor="text1"/>
          <w:kern w:val="0"/>
          <w:szCs w:val="24"/>
        </w:rPr>
        <w:t>成交價格之決定：成交價一律為推薦證券商之報價價格。</w:t>
      </w:r>
    </w:p>
    <w:p w:rsidR="001765B1" w:rsidRPr="00A46FA9" w:rsidRDefault="001765B1" w:rsidP="001765B1">
      <w:pPr>
        <w:pStyle w:val="Web"/>
        <w:numPr>
          <w:ilvl w:val="0"/>
          <w:numId w:val="1"/>
        </w:numPr>
        <w:spacing w:before="0" w:beforeAutospacing="0" w:after="0" w:afterAutospacing="0" w:line="420" w:lineRule="exact"/>
        <w:rPr>
          <w:rFonts w:asciiTheme="majorHAnsi" w:eastAsia="標楷體" w:hAnsiTheme="majorHAnsi" w:cstheme="majorHAnsi"/>
          <w:color w:val="000000" w:themeColor="text1"/>
        </w:rPr>
      </w:pPr>
      <w:r w:rsidRPr="00A46FA9">
        <w:rPr>
          <w:rFonts w:asciiTheme="majorHAnsi" w:eastAsia="標楷體" w:hAnsiTheme="majorHAnsi" w:cstheme="majorHAnsi"/>
          <w:color w:val="000000" w:themeColor="text1"/>
        </w:rPr>
        <w:t>取消指定委託對象交易制度並調整系統外議價交易方式：</w:t>
      </w:r>
    </w:p>
    <w:p w:rsidR="001765B1" w:rsidRPr="00A46FA9" w:rsidRDefault="001765B1" w:rsidP="001765B1">
      <w:pPr>
        <w:pStyle w:val="a3"/>
        <w:numPr>
          <w:ilvl w:val="1"/>
          <w:numId w:val="1"/>
        </w:numPr>
        <w:spacing w:line="420" w:lineRule="exact"/>
        <w:ind w:leftChars="0"/>
        <w:rPr>
          <w:rFonts w:asciiTheme="majorHAnsi" w:eastAsia="標楷體" w:hAnsiTheme="majorHAnsi" w:cstheme="majorHAnsi"/>
          <w:color w:val="000000" w:themeColor="text1"/>
          <w:kern w:val="0"/>
          <w:szCs w:val="24"/>
        </w:rPr>
      </w:pPr>
      <w:r w:rsidRPr="00A46FA9">
        <w:rPr>
          <w:rFonts w:asciiTheme="majorHAnsi" w:eastAsia="標楷體" w:hAnsiTheme="majorHAnsi" w:cstheme="majorHAnsi"/>
          <w:color w:val="000000" w:themeColor="text1"/>
          <w:kern w:val="0"/>
          <w:szCs w:val="24"/>
        </w:rPr>
        <w:t>取消指定交易對象委託單制度：本次修正後之委託單分配原則，已能確保投資人之到價</w:t>
      </w:r>
      <w:proofErr w:type="gramStart"/>
      <w:r w:rsidRPr="00A46FA9">
        <w:rPr>
          <w:rFonts w:asciiTheme="majorHAnsi" w:eastAsia="標楷體" w:hAnsiTheme="majorHAnsi" w:cstheme="majorHAnsi"/>
          <w:color w:val="000000" w:themeColor="text1"/>
          <w:kern w:val="0"/>
          <w:szCs w:val="24"/>
        </w:rPr>
        <w:t>委託均能以</w:t>
      </w:r>
      <w:proofErr w:type="gramEnd"/>
      <w:r w:rsidRPr="00A46FA9">
        <w:rPr>
          <w:rFonts w:asciiTheme="majorHAnsi" w:eastAsia="標楷體" w:hAnsiTheme="majorHAnsi" w:cstheme="majorHAnsi"/>
          <w:color w:val="000000" w:themeColor="text1"/>
          <w:kern w:val="0"/>
          <w:szCs w:val="24"/>
        </w:rPr>
        <w:t>當時推薦證券商之最佳報價價格成交，故已無維持投資人得指定交易對象之必要，</w:t>
      </w:r>
      <w:proofErr w:type="gramStart"/>
      <w:r w:rsidRPr="00A46FA9">
        <w:rPr>
          <w:rFonts w:asciiTheme="majorHAnsi" w:eastAsia="標楷體" w:hAnsiTheme="majorHAnsi" w:cstheme="majorHAnsi"/>
          <w:color w:val="000000" w:themeColor="text1"/>
          <w:kern w:val="0"/>
          <w:szCs w:val="24"/>
        </w:rPr>
        <w:t>爰</w:t>
      </w:r>
      <w:proofErr w:type="gramEnd"/>
      <w:r w:rsidRPr="00A46FA9">
        <w:rPr>
          <w:rFonts w:asciiTheme="majorHAnsi" w:eastAsia="標楷體" w:hAnsiTheme="majorHAnsi" w:cstheme="majorHAnsi"/>
          <w:color w:val="000000" w:themeColor="text1"/>
          <w:kern w:val="0"/>
          <w:szCs w:val="24"/>
        </w:rPr>
        <w:t>取消指定交易對象委託單之制度。</w:t>
      </w:r>
    </w:p>
    <w:p w:rsidR="001765B1" w:rsidRPr="00A46FA9" w:rsidRDefault="001765B1" w:rsidP="001765B1">
      <w:pPr>
        <w:pStyle w:val="a3"/>
        <w:numPr>
          <w:ilvl w:val="1"/>
          <w:numId w:val="1"/>
        </w:numPr>
        <w:spacing w:line="420" w:lineRule="exact"/>
        <w:ind w:leftChars="0"/>
        <w:rPr>
          <w:rFonts w:asciiTheme="majorHAnsi" w:eastAsia="標楷體" w:hAnsiTheme="majorHAnsi" w:cstheme="majorHAnsi"/>
          <w:color w:val="000000" w:themeColor="text1"/>
          <w:kern w:val="0"/>
          <w:szCs w:val="24"/>
        </w:rPr>
      </w:pPr>
      <w:r w:rsidRPr="00A46FA9">
        <w:rPr>
          <w:rFonts w:asciiTheme="majorHAnsi" w:eastAsia="標楷體" w:hAnsiTheme="majorHAnsi" w:cstheme="majorHAnsi"/>
          <w:color w:val="000000" w:themeColor="text1"/>
          <w:kern w:val="0"/>
          <w:szCs w:val="24"/>
        </w:rPr>
        <w:t>系統外議價交易：</w:t>
      </w:r>
    </w:p>
    <w:p w:rsidR="001765B1" w:rsidRPr="00A46FA9" w:rsidRDefault="001765B1" w:rsidP="001765B1">
      <w:pPr>
        <w:widowControl/>
        <w:numPr>
          <w:ilvl w:val="0"/>
          <w:numId w:val="5"/>
        </w:numPr>
        <w:tabs>
          <w:tab w:val="left" w:pos="1134"/>
          <w:tab w:val="left" w:pos="1276"/>
        </w:tabs>
        <w:spacing w:line="420" w:lineRule="exact"/>
        <w:ind w:hanging="207"/>
        <w:rPr>
          <w:rFonts w:asciiTheme="majorHAnsi" w:eastAsia="標楷體" w:hAnsiTheme="majorHAnsi" w:cstheme="majorHAnsi"/>
          <w:color w:val="000000" w:themeColor="text1"/>
          <w:kern w:val="0"/>
          <w:szCs w:val="24"/>
        </w:rPr>
      </w:pPr>
      <w:r w:rsidRPr="00A46FA9">
        <w:rPr>
          <w:rFonts w:asciiTheme="majorHAnsi" w:eastAsia="標楷體" w:hAnsiTheme="majorHAnsi" w:cstheme="majorHAnsi"/>
          <w:color w:val="000000" w:themeColor="text1"/>
          <w:kern w:val="0"/>
          <w:szCs w:val="24"/>
        </w:rPr>
        <w:t>推薦證券商與受託買賣之證券經紀商（包括自家及他家客戶）：成交股數應為</w:t>
      </w:r>
      <w:r w:rsidRPr="00A46FA9">
        <w:rPr>
          <w:rFonts w:asciiTheme="majorHAnsi" w:eastAsia="標楷體" w:hAnsiTheme="majorHAnsi" w:cstheme="majorHAnsi"/>
          <w:color w:val="000000" w:themeColor="text1"/>
          <w:kern w:val="0"/>
          <w:szCs w:val="24"/>
        </w:rPr>
        <w:t>10</w:t>
      </w:r>
      <w:r w:rsidRPr="00A46FA9">
        <w:rPr>
          <w:rFonts w:asciiTheme="majorHAnsi" w:eastAsia="標楷體" w:hAnsiTheme="majorHAnsi" w:cstheme="majorHAnsi"/>
          <w:color w:val="000000" w:themeColor="text1"/>
          <w:kern w:val="0"/>
          <w:szCs w:val="24"/>
        </w:rPr>
        <w:t>萬股以上或交易金額</w:t>
      </w:r>
      <w:r w:rsidRPr="00A46FA9">
        <w:rPr>
          <w:rFonts w:asciiTheme="majorHAnsi" w:eastAsia="標楷體" w:hAnsiTheme="majorHAnsi" w:cstheme="majorHAnsi"/>
          <w:color w:val="000000" w:themeColor="text1"/>
          <w:kern w:val="0"/>
          <w:szCs w:val="24"/>
        </w:rPr>
        <w:t>500</w:t>
      </w:r>
      <w:r w:rsidRPr="00A46FA9">
        <w:rPr>
          <w:rFonts w:asciiTheme="majorHAnsi" w:eastAsia="標楷體" w:hAnsiTheme="majorHAnsi" w:cstheme="majorHAnsi"/>
          <w:color w:val="000000" w:themeColor="text1"/>
          <w:kern w:val="0"/>
          <w:szCs w:val="24"/>
        </w:rPr>
        <w:t>萬元以上。</w:t>
      </w:r>
    </w:p>
    <w:p w:rsidR="001765B1" w:rsidRPr="00A46FA9" w:rsidRDefault="001765B1" w:rsidP="001765B1">
      <w:pPr>
        <w:widowControl/>
        <w:numPr>
          <w:ilvl w:val="0"/>
          <w:numId w:val="5"/>
        </w:numPr>
        <w:tabs>
          <w:tab w:val="left" w:pos="1134"/>
          <w:tab w:val="left" w:pos="1276"/>
        </w:tabs>
        <w:spacing w:line="420" w:lineRule="exact"/>
        <w:ind w:hanging="207"/>
        <w:rPr>
          <w:rFonts w:asciiTheme="majorHAnsi" w:eastAsia="標楷體" w:hAnsiTheme="majorHAnsi" w:cstheme="majorHAnsi"/>
          <w:color w:val="000000" w:themeColor="text1"/>
          <w:kern w:val="0"/>
          <w:szCs w:val="24"/>
        </w:rPr>
      </w:pPr>
      <w:r w:rsidRPr="00A46FA9">
        <w:rPr>
          <w:rFonts w:asciiTheme="majorHAnsi" w:eastAsia="標楷體" w:hAnsiTheme="majorHAnsi" w:cstheme="majorHAnsi"/>
          <w:color w:val="000000" w:themeColor="text1"/>
          <w:kern w:val="0"/>
          <w:szCs w:val="24"/>
        </w:rPr>
        <w:t>推薦證券商與其他推薦證券商：推薦證券應於內部作業辦法中訂定可從事此類系統外議價交易之事由</w:t>
      </w:r>
      <w:proofErr w:type="gramStart"/>
      <w:r w:rsidRPr="00A46FA9">
        <w:rPr>
          <w:rFonts w:asciiTheme="majorHAnsi" w:eastAsia="標楷體" w:hAnsiTheme="majorHAnsi" w:cstheme="majorHAnsi"/>
          <w:color w:val="000000" w:themeColor="text1"/>
          <w:kern w:val="0"/>
          <w:szCs w:val="24"/>
        </w:rPr>
        <w:t>及核決程序</w:t>
      </w:r>
      <w:proofErr w:type="gramEnd"/>
      <w:r w:rsidRPr="00A46FA9">
        <w:rPr>
          <w:rFonts w:asciiTheme="majorHAnsi" w:eastAsia="標楷體" w:hAnsiTheme="majorHAnsi" w:cstheme="majorHAnsi"/>
          <w:color w:val="000000" w:themeColor="text1"/>
          <w:kern w:val="0"/>
          <w:szCs w:val="24"/>
        </w:rPr>
        <w:t>。</w:t>
      </w:r>
    </w:p>
    <w:p w:rsidR="001765B1" w:rsidRPr="00A46FA9" w:rsidRDefault="001765B1" w:rsidP="001765B1">
      <w:pPr>
        <w:widowControl/>
        <w:numPr>
          <w:ilvl w:val="0"/>
          <w:numId w:val="5"/>
        </w:numPr>
        <w:tabs>
          <w:tab w:val="left" w:pos="1134"/>
          <w:tab w:val="left" w:pos="1276"/>
        </w:tabs>
        <w:spacing w:line="420" w:lineRule="exact"/>
        <w:ind w:hanging="207"/>
        <w:rPr>
          <w:rFonts w:asciiTheme="majorHAnsi" w:eastAsia="標楷體" w:hAnsiTheme="majorHAnsi" w:cstheme="majorHAnsi"/>
          <w:color w:val="000000" w:themeColor="text1"/>
          <w:kern w:val="0"/>
          <w:szCs w:val="24"/>
        </w:rPr>
      </w:pPr>
      <w:r w:rsidRPr="00A46FA9">
        <w:rPr>
          <w:rFonts w:asciiTheme="majorHAnsi" w:eastAsia="標楷體" w:hAnsiTheme="majorHAnsi" w:cstheme="majorHAnsi"/>
          <w:color w:val="000000" w:themeColor="text1"/>
          <w:kern w:val="0"/>
          <w:szCs w:val="24"/>
        </w:rPr>
        <w:t>系統外議價成交價格之規定：系統外議價成交價格不得逾當時推薦證券商報價之</w:t>
      </w:r>
      <w:r w:rsidRPr="00A46FA9">
        <w:rPr>
          <w:rFonts w:asciiTheme="majorHAnsi" w:eastAsia="標楷體" w:hAnsiTheme="majorHAnsi" w:cstheme="majorHAnsi"/>
          <w:color w:val="000000" w:themeColor="text1"/>
          <w:kern w:val="0"/>
          <w:szCs w:val="24"/>
        </w:rPr>
        <w:t>10%</w:t>
      </w:r>
      <w:r w:rsidRPr="00A46FA9">
        <w:rPr>
          <w:rFonts w:asciiTheme="majorHAnsi" w:eastAsia="標楷體" w:hAnsiTheme="majorHAnsi" w:cstheme="majorHAnsi"/>
          <w:color w:val="000000" w:themeColor="text1"/>
          <w:kern w:val="0"/>
          <w:szCs w:val="24"/>
        </w:rPr>
        <w:t>；若屬中介交易，其成交價應介於當時推薦證券商報買價與報賣價間。</w:t>
      </w:r>
    </w:p>
    <w:p w:rsidR="001765B1" w:rsidRPr="00A46FA9" w:rsidRDefault="001765B1" w:rsidP="00E379DB">
      <w:pPr>
        <w:pStyle w:val="Web"/>
        <w:numPr>
          <w:ilvl w:val="0"/>
          <w:numId w:val="1"/>
        </w:numPr>
        <w:spacing w:before="0" w:beforeAutospacing="0" w:after="0" w:afterAutospacing="0" w:line="420" w:lineRule="exact"/>
        <w:rPr>
          <w:rFonts w:asciiTheme="majorHAnsi" w:eastAsia="標楷體" w:hAnsiTheme="majorHAnsi" w:cstheme="majorHAnsi"/>
          <w:color w:val="000000" w:themeColor="text1"/>
        </w:rPr>
      </w:pPr>
      <w:r w:rsidRPr="00A46FA9">
        <w:rPr>
          <w:rFonts w:asciiTheme="majorHAnsi" w:eastAsia="標楷體" w:hAnsiTheme="majorHAnsi" w:cstheme="majorHAnsi"/>
          <w:color w:val="000000" w:themeColor="text1"/>
        </w:rPr>
        <w:t>推薦證券商最低報價數量依價格級距分級：</w:t>
      </w:r>
    </w:p>
    <w:p w:rsidR="001765B1" w:rsidRPr="00A46FA9" w:rsidRDefault="001765B1" w:rsidP="00E379DB">
      <w:pPr>
        <w:pStyle w:val="a3"/>
        <w:numPr>
          <w:ilvl w:val="1"/>
          <w:numId w:val="1"/>
        </w:numPr>
        <w:spacing w:line="420" w:lineRule="exact"/>
        <w:ind w:leftChars="0"/>
        <w:rPr>
          <w:rFonts w:asciiTheme="majorHAnsi" w:eastAsia="標楷體" w:hAnsiTheme="majorHAnsi" w:cstheme="majorHAnsi"/>
          <w:color w:val="000000" w:themeColor="text1"/>
          <w:kern w:val="0"/>
          <w:szCs w:val="24"/>
        </w:rPr>
      </w:pPr>
      <w:r w:rsidRPr="00A46FA9">
        <w:rPr>
          <w:rFonts w:asciiTheme="majorHAnsi" w:eastAsia="標楷體" w:hAnsiTheme="majorHAnsi" w:cstheme="majorHAnsi"/>
          <w:color w:val="000000" w:themeColor="text1"/>
          <w:kern w:val="0"/>
          <w:szCs w:val="24"/>
        </w:rPr>
        <w:t>報價價格</w:t>
      </w:r>
      <w:r w:rsidRPr="00A46FA9">
        <w:rPr>
          <w:rFonts w:asciiTheme="majorHAnsi" w:eastAsia="標楷體" w:hAnsiTheme="majorHAnsi" w:cstheme="majorHAnsi"/>
          <w:color w:val="000000" w:themeColor="text1"/>
          <w:kern w:val="0"/>
          <w:szCs w:val="24"/>
        </w:rPr>
        <w:t>&lt;20</w:t>
      </w:r>
      <w:r w:rsidRPr="00A46FA9">
        <w:rPr>
          <w:rFonts w:asciiTheme="majorHAnsi" w:eastAsia="標楷體" w:hAnsiTheme="majorHAnsi" w:cstheme="majorHAnsi"/>
          <w:color w:val="000000" w:themeColor="text1"/>
          <w:kern w:val="0"/>
          <w:szCs w:val="24"/>
        </w:rPr>
        <w:t>元，最低報價數量</w:t>
      </w:r>
      <w:r w:rsidRPr="00A46FA9">
        <w:rPr>
          <w:rFonts w:asciiTheme="majorHAnsi" w:eastAsia="標楷體" w:hAnsiTheme="majorHAnsi" w:cstheme="majorHAnsi"/>
          <w:color w:val="000000" w:themeColor="text1"/>
          <w:kern w:val="0"/>
          <w:szCs w:val="24"/>
        </w:rPr>
        <w:t>5</w:t>
      </w:r>
      <w:r w:rsidRPr="00A46FA9">
        <w:rPr>
          <w:rFonts w:asciiTheme="majorHAnsi" w:eastAsia="標楷體" w:hAnsiTheme="majorHAnsi" w:cstheme="majorHAnsi"/>
          <w:color w:val="000000" w:themeColor="text1"/>
          <w:kern w:val="0"/>
          <w:szCs w:val="24"/>
        </w:rPr>
        <w:t>千股。</w:t>
      </w:r>
    </w:p>
    <w:p w:rsidR="001765B1" w:rsidRPr="00A46FA9" w:rsidRDefault="001765B1" w:rsidP="00E379DB">
      <w:pPr>
        <w:pStyle w:val="a3"/>
        <w:numPr>
          <w:ilvl w:val="1"/>
          <w:numId w:val="1"/>
        </w:numPr>
        <w:spacing w:line="420" w:lineRule="exact"/>
        <w:ind w:leftChars="0"/>
        <w:rPr>
          <w:rFonts w:asciiTheme="majorHAnsi" w:eastAsia="標楷體" w:hAnsiTheme="majorHAnsi" w:cstheme="majorHAnsi"/>
          <w:color w:val="000000" w:themeColor="text1"/>
          <w:kern w:val="0"/>
          <w:szCs w:val="24"/>
        </w:rPr>
      </w:pPr>
      <w:r w:rsidRPr="00A46FA9">
        <w:rPr>
          <w:rFonts w:asciiTheme="majorHAnsi" w:eastAsia="標楷體" w:hAnsiTheme="majorHAnsi" w:cstheme="majorHAnsi"/>
          <w:color w:val="000000" w:themeColor="text1"/>
          <w:kern w:val="0"/>
          <w:szCs w:val="24"/>
        </w:rPr>
        <w:t>20</w:t>
      </w:r>
      <w:r w:rsidRPr="00A46FA9">
        <w:rPr>
          <w:rFonts w:asciiTheme="majorHAnsi" w:eastAsia="標楷體" w:hAnsiTheme="majorHAnsi" w:cstheme="majorHAnsi"/>
          <w:color w:val="000000" w:themeColor="text1"/>
          <w:kern w:val="0"/>
          <w:szCs w:val="24"/>
        </w:rPr>
        <w:t>元</w:t>
      </w:r>
      <w:proofErr w:type="gramStart"/>
      <w:r w:rsidRPr="00A46FA9">
        <w:rPr>
          <w:rFonts w:asciiTheme="majorHAnsi" w:eastAsia="標楷體" w:hAnsiTheme="majorHAnsi" w:cstheme="majorHAnsi" w:hint="eastAsia"/>
          <w:color w:val="000000" w:themeColor="text1"/>
          <w:kern w:val="0"/>
          <w:szCs w:val="24"/>
        </w:rPr>
        <w:t>≦</w:t>
      </w:r>
      <w:proofErr w:type="gramEnd"/>
      <w:r w:rsidRPr="00A46FA9">
        <w:rPr>
          <w:rFonts w:asciiTheme="majorHAnsi" w:eastAsia="標楷體" w:hAnsiTheme="majorHAnsi" w:cstheme="majorHAnsi"/>
          <w:color w:val="000000" w:themeColor="text1"/>
          <w:kern w:val="0"/>
          <w:szCs w:val="24"/>
        </w:rPr>
        <w:t>報價價格</w:t>
      </w:r>
      <w:r w:rsidRPr="00A46FA9">
        <w:rPr>
          <w:rFonts w:asciiTheme="majorHAnsi" w:eastAsia="標楷體" w:hAnsiTheme="majorHAnsi" w:cstheme="majorHAnsi"/>
          <w:color w:val="000000" w:themeColor="text1"/>
          <w:kern w:val="0"/>
          <w:szCs w:val="24"/>
        </w:rPr>
        <w:t>&lt;100</w:t>
      </w:r>
      <w:r w:rsidRPr="00A46FA9">
        <w:rPr>
          <w:rFonts w:asciiTheme="majorHAnsi" w:eastAsia="標楷體" w:hAnsiTheme="majorHAnsi" w:cstheme="majorHAnsi"/>
          <w:color w:val="000000" w:themeColor="text1"/>
          <w:kern w:val="0"/>
          <w:szCs w:val="24"/>
        </w:rPr>
        <w:t>元，最低報價數量</w:t>
      </w:r>
      <w:r w:rsidRPr="00A46FA9">
        <w:rPr>
          <w:rFonts w:asciiTheme="majorHAnsi" w:eastAsia="標楷體" w:hAnsiTheme="majorHAnsi" w:cstheme="majorHAnsi"/>
          <w:color w:val="000000" w:themeColor="text1"/>
          <w:kern w:val="0"/>
          <w:szCs w:val="24"/>
        </w:rPr>
        <w:t>3</w:t>
      </w:r>
      <w:r w:rsidRPr="00A46FA9">
        <w:rPr>
          <w:rFonts w:asciiTheme="majorHAnsi" w:eastAsia="標楷體" w:hAnsiTheme="majorHAnsi" w:cstheme="majorHAnsi"/>
          <w:color w:val="000000" w:themeColor="text1"/>
          <w:kern w:val="0"/>
          <w:szCs w:val="24"/>
        </w:rPr>
        <w:t>千股。</w:t>
      </w:r>
    </w:p>
    <w:p w:rsidR="001765B1" w:rsidRPr="00A46FA9" w:rsidRDefault="001765B1" w:rsidP="00E379DB">
      <w:pPr>
        <w:pStyle w:val="a3"/>
        <w:numPr>
          <w:ilvl w:val="1"/>
          <w:numId w:val="1"/>
        </w:numPr>
        <w:spacing w:line="420" w:lineRule="exact"/>
        <w:ind w:leftChars="0"/>
        <w:rPr>
          <w:rFonts w:asciiTheme="majorHAnsi" w:eastAsia="標楷體" w:hAnsiTheme="majorHAnsi" w:cstheme="majorHAnsi"/>
          <w:color w:val="000000" w:themeColor="text1"/>
          <w:kern w:val="0"/>
          <w:szCs w:val="24"/>
        </w:rPr>
      </w:pPr>
      <w:r w:rsidRPr="00A46FA9">
        <w:rPr>
          <w:rFonts w:asciiTheme="majorHAnsi" w:eastAsia="標楷體" w:hAnsiTheme="majorHAnsi" w:cstheme="majorHAnsi"/>
          <w:color w:val="000000" w:themeColor="text1"/>
          <w:kern w:val="0"/>
          <w:szCs w:val="24"/>
        </w:rPr>
        <w:t>報價價格</w:t>
      </w:r>
      <w:proofErr w:type="gramStart"/>
      <w:r w:rsidRPr="00A46FA9">
        <w:rPr>
          <w:rFonts w:asciiTheme="majorHAnsi" w:eastAsia="標楷體" w:hAnsiTheme="majorHAnsi" w:cstheme="majorHAnsi" w:hint="eastAsia"/>
          <w:color w:val="000000" w:themeColor="text1"/>
          <w:kern w:val="0"/>
          <w:szCs w:val="24"/>
        </w:rPr>
        <w:t>≧</w:t>
      </w:r>
      <w:proofErr w:type="gramEnd"/>
      <w:r w:rsidRPr="00A46FA9">
        <w:rPr>
          <w:rFonts w:asciiTheme="majorHAnsi" w:eastAsia="標楷體" w:hAnsiTheme="majorHAnsi" w:cstheme="majorHAnsi"/>
          <w:color w:val="000000" w:themeColor="text1"/>
          <w:kern w:val="0"/>
          <w:szCs w:val="24"/>
        </w:rPr>
        <w:t>100</w:t>
      </w:r>
      <w:r w:rsidRPr="00A46FA9">
        <w:rPr>
          <w:rFonts w:asciiTheme="majorHAnsi" w:eastAsia="標楷體" w:hAnsiTheme="majorHAnsi" w:cstheme="majorHAnsi"/>
          <w:color w:val="000000" w:themeColor="text1"/>
          <w:kern w:val="0"/>
          <w:szCs w:val="24"/>
        </w:rPr>
        <w:t>元，最低報價數量</w:t>
      </w:r>
      <w:r w:rsidRPr="00A46FA9">
        <w:rPr>
          <w:rFonts w:asciiTheme="majorHAnsi" w:eastAsia="標楷體" w:hAnsiTheme="majorHAnsi" w:cstheme="majorHAnsi"/>
          <w:color w:val="000000" w:themeColor="text1"/>
          <w:kern w:val="0"/>
          <w:szCs w:val="24"/>
        </w:rPr>
        <w:t>2</w:t>
      </w:r>
      <w:r w:rsidRPr="00A46FA9">
        <w:rPr>
          <w:rFonts w:asciiTheme="majorHAnsi" w:eastAsia="標楷體" w:hAnsiTheme="majorHAnsi" w:cstheme="majorHAnsi"/>
          <w:color w:val="000000" w:themeColor="text1"/>
          <w:kern w:val="0"/>
          <w:szCs w:val="24"/>
        </w:rPr>
        <w:t>千股。</w:t>
      </w:r>
    </w:p>
    <w:p w:rsidR="001765B1" w:rsidRPr="00A46FA9" w:rsidRDefault="001765B1" w:rsidP="00E379DB">
      <w:pPr>
        <w:pStyle w:val="Web"/>
        <w:numPr>
          <w:ilvl w:val="0"/>
          <w:numId w:val="1"/>
        </w:numPr>
        <w:spacing w:before="0" w:beforeAutospacing="0" w:after="0" w:afterAutospacing="0" w:line="420" w:lineRule="exact"/>
        <w:rPr>
          <w:rFonts w:asciiTheme="majorHAnsi" w:eastAsia="標楷體" w:hAnsiTheme="majorHAnsi" w:cstheme="majorHAnsi"/>
          <w:color w:val="000000" w:themeColor="text1"/>
        </w:rPr>
      </w:pPr>
      <w:r w:rsidRPr="00A46FA9">
        <w:rPr>
          <w:rFonts w:asciiTheme="majorHAnsi" w:eastAsia="標楷體" w:hAnsiTheme="majorHAnsi" w:cstheme="majorHAnsi"/>
          <w:color w:val="000000" w:themeColor="text1"/>
        </w:rPr>
        <w:lastRenderedPageBreak/>
        <w:t>推薦證券商報價品質考核指標：為提昇推薦證券商報價品質，增加「流動性指標」（包括最佳報價深度及報價</w:t>
      </w:r>
      <w:proofErr w:type="gramStart"/>
      <w:r w:rsidRPr="00A46FA9">
        <w:rPr>
          <w:rFonts w:asciiTheme="majorHAnsi" w:eastAsia="標楷體" w:hAnsiTheme="majorHAnsi" w:cstheme="majorHAnsi"/>
          <w:color w:val="000000" w:themeColor="text1"/>
        </w:rPr>
        <w:t>價</w:t>
      </w:r>
      <w:proofErr w:type="gramEnd"/>
      <w:r w:rsidRPr="00A46FA9">
        <w:rPr>
          <w:rFonts w:asciiTheme="majorHAnsi" w:eastAsia="標楷體" w:hAnsiTheme="majorHAnsi" w:cstheme="majorHAnsi"/>
          <w:color w:val="000000" w:themeColor="text1"/>
        </w:rPr>
        <w:t>差）及「穩定性指標」（對股價穩定度）等績效評估指標。</w:t>
      </w:r>
    </w:p>
    <w:p w:rsidR="001765B1" w:rsidRPr="00A46FA9" w:rsidRDefault="001765B1" w:rsidP="00E379DB">
      <w:pPr>
        <w:pStyle w:val="Web"/>
        <w:numPr>
          <w:ilvl w:val="0"/>
          <w:numId w:val="1"/>
        </w:numPr>
        <w:spacing w:before="0" w:beforeAutospacing="0" w:after="0" w:afterAutospacing="0" w:line="420" w:lineRule="exact"/>
        <w:rPr>
          <w:rFonts w:asciiTheme="majorHAnsi" w:eastAsia="標楷體" w:hAnsiTheme="majorHAnsi" w:cstheme="majorHAnsi"/>
          <w:color w:val="000000" w:themeColor="text1"/>
        </w:rPr>
      </w:pPr>
      <w:r w:rsidRPr="00A46FA9">
        <w:rPr>
          <w:rFonts w:asciiTheme="majorHAnsi" w:eastAsia="標楷體" w:hAnsiTheme="majorHAnsi" w:cstheme="majorHAnsi"/>
          <w:color w:val="000000" w:themeColor="text1"/>
        </w:rPr>
        <w:t>推薦證券商缺失記點機制：推薦證券商違反考核要點第三條各款達一定標準時</w:t>
      </w:r>
      <w:proofErr w:type="gramStart"/>
      <w:r w:rsidRPr="00A46FA9">
        <w:rPr>
          <w:rFonts w:asciiTheme="majorHAnsi" w:eastAsia="標楷體" w:hAnsiTheme="majorHAnsi" w:cstheme="majorHAnsi"/>
          <w:color w:val="000000" w:themeColor="text1"/>
        </w:rPr>
        <w:t>予以處記缺點</w:t>
      </w:r>
      <w:proofErr w:type="gramEnd"/>
      <w:r w:rsidRPr="00A46FA9">
        <w:rPr>
          <w:rFonts w:asciiTheme="majorHAnsi" w:eastAsia="標楷體" w:hAnsiTheme="majorHAnsi" w:cstheme="majorHAnsi"/>
          <w:color w:val="000000" w:themeColor="text1"/>
        </w:rPr>
        <w:t>，</w:t>
      </w:r>
      <w:proofErr w:type="gramStart"/>
      <w:r w:rsidRPr="00A46FA9">
        <w:rPr>
          <w:rFonts w:asciiTheme="majorHAnsi" w:eastAsia="標楷體" w:hAnsiTheme="majorHAnsi" w:cstheme="majorHAnsi"/>
          <w:color w:val="000000" w:themeColor="text1"/>
        </w:rPr>
        <w:t>處記之</w:t>
      </w:r>
      <w:proofErr w:type="gramEnd"/>
      <w:r w:rsidRPr="00A46FA9">
        <w:rPr>
          <w:rFonts w:asciiTheme="majorHAnsi" w:eastAsia="標楷體" w:hAnsiTheme="majorHAnsi" w:cstheme="majorHAnsi"/>
          <w:color w:val="000000" w:themeColor="text1"/>
        </w:rPr>
        <w:t>缺點累計達</w:t>
      </w:r>
      <w:r w:rsidRPr="00A46FA9">
        <w:rPr>
          <w:rFonts w:asciiTheme="majorHAnsi" w:eastAsia="標楷體" w:hAnsiTheme="majorHAnsi" w:cstheme="majorHAnsi"/>
          <w:color w:val="000000" w:themeColor="text1"/>
        </w:rPr>
        <w:t>5</w:t>
      </w:r>
      <w:r w:rsidRPr="00A46FA9">
        <w:rPr>
          <w:rFonts w:asciiTheme="majorHAnsi" w:eastAsia="標楷體" w:hAnsiTheme="majorHAnsi" w:cstheme="majorHAnsi"/>
          <w:color w:val="000000" w:themeColor="text1"/>
        </w:rPr>
        <w:t>點以上者處以違約金；達</w:t>
      </w:r>
      <w:r w:rsidRPr="00A46FA9">
        <w:rPr>
          <w:rFonts w:asciiTheme="majorHAnsi" w:eastAsia="標楷體" w:hAnsiTheme="majorHAnsi" w:cstheme="majorHAnsi"/>
          <w:color w:val="000000" w:themeColor="text1"/>
        </w:rPr>
        <w:t>20</w:t>
      </w:r>
      <w:r w:rsidRPr="00A46FA9">
        <w:rPr>
          <w:rFonts w:asciiTheme="majorHAnsi" w:eastAsia="標楷體" w:hAnsiTheme="majorHAnsi" w:cstheme="majorHAnsi"/>
          <w:color w:val="000000" w:themeColor="text1"/>
        </w:rPr>
        <w:t>點以上者停止其全部或</w:t>
      </w:r>
      <w:proofErr w:type="gramStart"/>
      <w:r w:rsidRPr="00A46FA9">
        <w:rPr>
          <w:rFonts w:asciiTheme="majorHAnsi" w:eastAsia="標楷體" w:hAnsiTheme="majorHAnsi" w:cstheme="majorHAnsi"/>
          <w:color w:val="000000" w:themeColor="text1"/>
        </w:rPr>
        <w:t>部分興櫃股票</w:t>
      </w:r>
      <w:proofErr w:type="gramEnd"/>
      <w:r w:rsidRPr="00A46FA9">
        <w:rPr>
          <w:rFonts w:asciiTheme="majorHAnsi" w:eastAsia="標楷體" w:hAnsiTheme="majorHAnsi" w:cstheme="majorHAnsi"/>
          <w:color w:val="000000" w:themeColor="text1"/>
        </w:rPr>
        <w:t>之造市商資格。</w:t>
      </w:r>
    </w:p>
    <w:p w:rsidR="00CB7F1B" w:rsidRPr="00A46FA9" w:rsidRDefault="00CB7F1B">
      <w:pPr>
        <w:rPr>
          <w:color w:val="000000" w:themeColor="text1"/>
        </w:rPr>
      </w:pPr>
    </w:p>
    <w:sectPr w:rsidR="00CB7F1B" w:rsidRPr="00A46FA9">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580" w:rsidRDefault="00863580" w:rsidP="007D08EB">
      <w:r>
        <w:separator/>
      </w:r>
    </w:p>
  </w:endnote>
  <w:endnote w:type="continuationSeparator" w:id="0">
    <w:p w:rsidR="00863580" w:rsidRDefault="00863580" w:rsidP="007D0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3700242"/>
      <w:docPartObj>
        <w:docPartGallery w:val="Page Numbers (Bottom of Page)"/>
        <w:docPartUnique/>
      </w:docPartObj>
    </w:sdtPr>
    <w:sdtEndPr/>
    <w:sdtContent>
      <w:p w:rsidR="007D08EB" w:rsidRDefault="007D08EB">
        <w:pPr>
          <w:pStyle w:val="a6"/>
          <w:jc w:val="center"/>
        </w:pPr>
        <w:r>
          <w:fldChar w:fldCharType="begin"/>
        </w:r>
        <w:r>
          <w:instrText>PAGE   \* MERGEFORMAT</w:instrText>
        </w:r>
        <w:r>
          <w:fldChar w:fldCharType="separate"/>
        </w:r>
        <w:r w:rsidR="00A46FA9" w:rsidRPr="00A46FA9">
          <w:rPr>
            <w:noProof/>
            <w:lang w:val="zh-TW"/>
          </w:rPr>
          <w:t>2</w:t>
        </w:r>
        <w:r>
          <w:fldChar w:fldCharType="end"/>
        </w:r>
      </w:p>
    </w:sdtContent>
  </w:sdt>
  <w:p w:rsidR="007D08EB" w:rsidRDefault="007D08E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580" w:rsidRDefault="00863580" w:rsidP="007D08EB">
      <w:r>
        <w:separator/>
      </w:r>
    </w:p>
  </w:footnote>
  <w:footnote w:type="continuationSeparator" w:id="0">
    <w:p w:rsidR="00863580" w:rsidRDefault="00863580" w:rsidP="007D08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A668E"/>
    <w:multiLevelType w:val="multilevel"/>
    <w:tmpl w:val="124080FA"/>
    <w:lvl w:ilvl="0">
      <w:start w:val="1"/>
      <w:numFmt w:val="decimal"/>
      <w:lvlText w:val="%1."/>
      <w:lvlJc w:val="left"/>
      <w:pPr>
        <w:tabs>
          <w:tab w:val="num" w:pos="1200"/>
        </w:tabs>
        <w:ind w:left="1200" w:hanging="360"/>
      </w:pPr>
      <w:rPr>
        <w:b w:val="0"/>
      </w:rPr>
    </w:lvl>
    <w:lvl w:ilvl="1">
      <w:start w:val="1"/>
      <w:numFmt w:val="lowerRoman"/>
      <w:lvlText w:val="%2."/>
      <w:lvlJc w:val="right"/>
      <w:pPr>
        <w:tabs>
          <w:tab w:val="num" w:pos="1920"/>
        </w:tabs>
        <w:ind w:left="1920" w:hanging="360"/>
      </w:pPr>
    </w:lvl>
    <w:lvl w:ilvl="2" w:tentative="1">
      <w:start w:val="1"/>
      <w:numFmt w:val="decimal"/>
      <w:lvlText w:val="%3."/>
      <w:lvlJc w:val="left"/>
      <w:pPr>
        <w:tabs>
          <w:tab w:val="num" w:pos="2640"/>
        </w:tabs>
        <w:ind w:left="2640" w:hanging="360"/>
      </w:pPr>
    </w:lvl>
    <w:lvl w:ilvl="3" w:tentative="1">
      <w:start w:val="1"/>
      <w:numFmt w:val="decimal"/>
      <w:lvlText w:val="%4."/>
      <w:lvlJc w:val="left"/>
      <w:pPr>
        <w:tabs>
          <w:tab w:val="num" w:pos="3360"/>
        </w:tabs>
        <w:ind w:left="3360" w:hanging="360"/>
      </w:pPr>
    </w:lvl>
    <w:lvl w:ilvl="4" w:tentative="1">
      <w:start w:val="1"/>
      <w:numFmt w:val="decimal"/>
      <w:lvlText w:val="%5."/>
      <w:lvlJc w:val="left"/>
      <w:pPr>
        <w:tabs>
          <w:tab w:val="num" w:pos="4080"/>
        </w:tabs>
        <w:ind w:left="4080" w:hanging="360"/>
      </w:pPr>
    </w:lvl>
    <w:lvl w:ilvl="5" w:tentative="1">
      <w:start w:val="1"/>
      <w:numFmt w:val="decimal"/>
      <w:lvlText w:val="%6."/>
      <w:lvlJc w:val="left"/>
      <w:pPr>
        <w:tabs>
          <w:tab w:val="num" w:pos="4800"/>
        </w:tabs>
        <w:ind w:left="4800" w:hanging="360"/>
      </w:pPr>
    </w:lvl>
    <w:lvl w:ilvl="6" w:tentative="1">
      <w:start w:val="1"/>
      <w:numFmt w:val="decimal"/>
      <w:lvlText w:val="%7."/>
      <w:lvlJc w:val="left"/>
      <w:pPr>
        <w:tabs>
          <w:tab w:val="num" w:pos="5520"/>
        </w:tabs>
        <w:ind w:left="5520" w:hanging="360"/>
      </w:pPr>
    </w:lvl>
    <w:lvl w:ilvl="7" w:tentative="1">
      <w:start w:val="1"/>
      <w:numFmt w:val="decimal"/>
      <w:lvlText w:val="%8."/>
      <w:lvlJc w:val="left"/>
      <w:pPr>
        <w:tabs>
          <w:tab w:val="num" w:pos="6240"/>
        </w:tabs>
        <w:ind w:left="6240" w:hanging="360"/>
      </w:pPr>
    </w:lvl>
    <w:lvl w:ilvl="8" w:tentative="1">
      <w:start w:val="1"/>
      <w:numFmt w:val="decimal"/>
      <w:lvlText w:val="%9."/>
      <w:lvlJc w:val="left"/>
      <w:pPr>
        <w:tabs>
          <w:tab w:val="num" w:pos="6960"/>
        </w:tabs>
        <w:ind w:left="6960" w:hanging="360"/>
      </w:pPr>
    </w:lvl>
  </w:abstractNum>
  <w:abstractNum w:abstractNumId="1">
    <w:nsid w:val="14287A42"/>
    <w:multiLevelType w:val="hybridMultilevel"/>
    <w:tmpl w:val="94040A3E"/>
    <w:lvl w:ilvl="0" w:tplc="04090015">
      <w:start w:val="1"/>
      <w:numFmt w:val="taiwaneseCountingThousand"/>
      <w:lvlText w:val="%1、"/>
      <w:lvlJc w:val="left"/>
      <w:pPr>
        <w:ind w:left="480" w:hanging="480"/>
      </w:pPr>
    </w:lvl>
    <w:lvl w:ilvl="1" w:tplc="45D6925E">
      <w:start w:val="1"/>
      <w:numFmt w:val="taiwaneseCountingThousand"/>
      <w:lvlText w:val="(%2)"/>
      <w:lvlJc w:val="left"/>
      <w:pPr>
        <w:ind w:left="960" w:hanging="480"/>
      </w:pPr>
      <w:rPr>
        <w:rFonts w:ascii="標楷體" w:eastAsia="標楷體" w:hAnsi="標楷體" w:hint="eastAsia"/>
        <w:b w:val="0"/>
        <w:i w:val="0"/>
        <w:strike w:val="0"/>
        <w:color w:val="auto"/>
        <w:sz w:val="24"/>
        <w:szCs w:val="24"/>
        <w:u w:val="none"/>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994075E"/>
    <w:multiLevelType w:val="hybridMultilevel"/>
    <w:tmpl w:val="F6FEF31A"/>
    <w:lvl w:ilvl="0" w:tplc="F8C2E7DA">
      <w:start w:val="1"/>
      <w:numFmt w:val="decimal"/>
      <w:lvlText w:val="(%1)"/>
      <w:lvlJc w:val="left"/>
      <w:pPr>
        <w:ind w:left="1440" w:hanging="480"/>
      </w:pPr>
      <w:rPr>
        <w:rFonts w:hint="eastAsia"/>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3">
    <w:nsid w:val="4A753B18"/>
    <w:multiLevelType w:val="multilevel"/>
    <w:tmpl w:val="124080FA"/>
    <w:lvl w:ilvl="0">
      <w:start w:val="1"/>
      <w:numFmt w:val="decimal"/>
      <w:lvlText w:val="%1."/>
      <w:lvlJc w:val="left"/>
      <w:pPr>
        <w:tabs>
          <w:tab w:val="num" w:pos="1200"/>
        </w:tabs>
        <w:ind w:left="1200" w:hanging="360"/>
      </w:pPr>
      <w:rPr>
        <w:b w:val="0"/>
      </w:rPr>
    </w:lvl>
    <w:lvl w:ilvl="1">
      <w:start w:val="1"/>
      <w:numFmt w:val="lowerRoman"/>
      <w:lvlText w:val="%2."/>
      <w:lvlJc w:val="right"/>
      <w:pPr>
        <w:tabs>
          <w:tab w:val="num" w:pos="1920"/>
        </w:tabs>
        <w:ind w:left="1920" w:hanging="360"/>
      </w:pPr>
    </w:lvl>
    <w:lvl w:ilvl="2" w:tentative="1">
      <w:start w:val="1"/>
      <w:numFmt w:val="decimal"/>
      <w:lvlText w:val="%3."/>
      <w:lvlJc w:val="left"/>
      <w:pPr>
        <w:tabs>
          <w:tab w:val="num" w:pos="2640"/>
        </w:tabs>
        <w:ind w:left="2640" w:hanging="360"/>
      </w:pPr>
    </w:lvl>
    <w:lvl w:ilvl="3" w:tentative="1">
      <w:start w:val="1"/>
      <w:numFmt w:val="decimal"/>
      <w:lvlText w:val="%4."/>
      <w:lvlJc w:val="left"/>
      <w:pPr>
        <w:tabs>
          <w:tab w:val="num" w:pos="3360"/>
        </w:tabs>
        <w:ind w:left="3360" w:hanging="360"/>
      </w:pPr>
    </w:lvl>
    <w:lvl w:ilvl="4" w:tentative="1">
      <w:start w:val="1"/>
      <w:numFmt w:val="decimal"/>
      <w:lvlText w:val="%5."/>
      <w:lvlJc w:val="left"/>
      <w:pPr>
        <w:tabs>
          <w:tab w:val="num" w:pos="4080"/>
        </w:tabs>
        <w:ind w:left="4080" w:hanging="360"/>
      </w:pPr>
    </w:lvl>
    <w:lvl w:ilvl="5" w:tentative="1">
      <w:start w:val="1"/>
      <w:numFmt w:val="decimal"/>
      <w:lvlText w:val="%6."/>
      <w:lvlJc w:val="left"/>
      <w:pPr>
        <w:tabs>
          <w:tab w:val="num" w:pos="4800"/>
        </w:tabs>
        <w:ind w:left="4800" w:hanging="360"/>
      </w:pPr>
    </w:lvl>
    <w:lvl w:ilvl="6" w:tentative="1">
      <w:start w:val="1"/>
      <w:numFmt w:val="decimal"/>
      <w:lvlText w:val="%7."/>
      <w:lvlJc w:val="left"/>
      <w:pPr>
        <w:tabs>
          <w:tab w:val="num" w:pos="5520"/>
        </w:tabs>
        <w:ind w:left="5520" w:hanging="360"/>
      </w:pPr>
    </w:lvl>
    <w:lvl w:ilvl="7" w:tentative="1">
      <w:start w:val="1"/>
      <w:numFmt w:val="decimal"/>
      <w:lvlText w:val="%8."/>
      <w:lvlJc w:val="left"/>
      <w:pPr>
        <w:tabs>
          <w:tab w:val="num" w:pos="6240"/>
        </w:tabs>
        <w:ind w:left="6240" w:hanging="360"/>
      </w:pPr>
    </w:lvl>
    <w:lvl w:ilvl="8" w:tentative="1">
      <w:start w:val="1"/>
      <w:numFmt w:val="decimal"/>
      <w:lvlText w:val="%9."/>
      <w:lvlJc w:val="left"/>
      <w:pPr>
        <w:tabs>
          <w:tab w:val="num" w:pos="6960"/>
        </w:tabs>
        <w:ind w:left="6960" w:hanging="360"/>
      </w:pPr>
    </w:lvl>
  </w:abstractNum>
  <w:abstractNum w:abstractNumId="4">
    <w:nsid w:val="771A689E"/>
    <w:multiLevelType w:val="multilevel"/>
    <w:tmpl w:val="124080FA"/>
    <w:lvl w:ilvl="0">
      <w:start w:val="1"/>
      <w:numFmt w:val="decimal"/>
      <w:lvlText w:val="%1."/>
      <w:lvlJc w:val="left"/>
      <w:pPr>
        <w:tabs>
          <w:tab w:val="num" w:pos="1200"/>
        </w:tabs>
        <w:ind w:left="1200" w:hanging="360"/>
      </w:pPr>
      <w:rPr>
        <w:b w:val="0"/>
      </w:rPr>
    </w:lvl>
    <w:lvl w:ilvl="1">
      <w:start w:val="1"/>
      <w:numFmt w:val="lowerRoman"/>
      <w:lvlText w:val="%2."/>
      <w:lvlJc w:val="right"/>
      <w:pPr>
        <w:tabs>
          <w:tab w:val="num" w:pos="1920"/>
        </w:tabs>
        <w:ind w:left="1920" w:hanging="360"/>
      </w:pPr>
    </w:lvl>
    <w:lvl w:ilvl="2" w:tentative="1">
      <w:start w:val="1"/>
      <w:numFmt w:val="decimal"/>
      <w:lvlText w:val="%3."/>
      <w:lvlJc w:val="left"/>
      <w:pPr>
        <w:tabs>
          <w:tab w:val="num" w:pos="2640"/>
        </w:tabs>
        <w:ind w:left="2640" w:hanging="360"/>
      </w:pPr>
    </w:lvl>
    <w:lvl w:ilvl="3" w:tentative="1">
      <w:start w:val="1"/>
      <w:numFmt w:val="decimal"/>
      <w:lvlText w:val="%4."/>
      <w:lvlJc w:val="left"/>
      <w:pPr>
        <w:tabs>
          <w:tab w:val="num" w:pos="3360"/>
        </w:tabs>
        <w:ind w:left="3360" w:hanging="360"/>
      </w:pPr>
    </w:lvl>
    <w:lvl w:ilvl="4" w:tentative="1">
      <w:start w:val="1"/>
      <w:numFmt w:val="decimal"/>
      <w:lvlText w:val="%5."/>
      <w:lvlJc w:val="left"/>
      <w:pPr>
        <w:tabs>
          <w:tab w:val="num" w:pos="4080"/>
        </w:tabs>
        <w:ind w:left="4080" w:hanging="360"/>
      </w:pPr>
    </w:lvl>
    <w:lvl w:ilvl="5" w:tentative="1">
      <w:start w:val="1"/>
      <w:numFmt w:val="decimal"/>
      <w:lvlText w:val="%6."/>
      <w:lvlJc w:val="left"/>
      <w:pPr>
        <w:tabs>
          <w:tab w:val="num" w:pos="4800"/>
        </w:tabs>
        <w:ind w:left="4800" w:hanging="360"/>
      </w:pPr>
    </w:lvl>
    <w:lvl w:ilvl="6" w:tentative="1">
      <w:start w:val="1"/>
      <w:numFmt w:val="decimal"/>
      <w:lvlText w:val="%7."/>
      <w:lvlJc w:val="left"/>
      <w:pPr>
        <w:tabs>
          <w:tab w:val="num" w:pos="5520"/>
        </w:tabs>
        <w:ind w:left="5520" w:hanging="360"/>
      </w:pPr>
    </w:lvl>
    <w:lvl w:ilvl="7" w:tentative="1">
      <w:start w:val="1"/>
      <w:numFmt w:val="decimal"/>
      <w:lvlText w:val="%8."/>
      <w:lvlJc w:val="left"/>
      <w:pPr>
        <w:tabs>
          <w:tab w:val="num" w:pos="6240"/>
        </w:tabs>
        <w:ind w:left="6240" w:hanging="360"/>
      </w:pPr>
    </w:lvl>
    <w:lvl w:ilvl="8" w:tentative="1">
      <w:start w:val="1"/>
      <w:numFmt w:val="decimal"/>
      <w:lvlText w:val="%9."/>
      <w:lvlJc w:val="left"/>
      <w:pPr>
        <w:tabs>
          <w:tab w:val="num" w:pos="6960"/>
        </w:tabs>
        <w:ind w:left="6960" w:hanging="36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5B1"/>
    <w:rsid w:val="001765B1"/>
    <w:rsid w:val="00346DCC"/>
    <w:rsid w:val="00542719"/>
    <w:rsid w:val="005E28BA"/>
    <w:rsid w:val="007D08EB"/>
    <w:rsid w:val="00863580"/>
    <w:rsid w:val="00A46FA9"/>
    <w:rsid w:val="00CB7F1B"/>
    <w:rsid w:val="00CF4289"/>
    <w:rsid w:val="00E379DB"/>
    <w:rsid w:val="00E8139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5B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1765B1"/>
    <w:pPr>
      <w:widowControl/>
      <w:spacing w:before="100" w:beforeAutospacing="1" w:after="100" w:afterAutospacing="1"/>
    </w:pPr>
    <w:rPr>
      <w:rFonts w:ascii="新細明體" w:eastAsia="新細明體" w:hAnsi="新細明體" w:cs="新細明體"/>
      <w:kern w:val="0"/>
      <w:szCs w:val="24"/>
    </w:rPr>
  </w:style>
  <w:style w:type="paragraph" w:styleId="a3">
    <w:name w:val="List Paragraph"/>
    <w:basedOn w:val="a"/>
    <w:uiPriority w:val="34"/>
    <w:qFormat/>
    <w:rsid w:val="001765B1"/>
    <w:pPr>
      <w:ind w:leftChars="200" w:left="480"/>
    </w:pPr>
  </w:style>
  <w:style w:type="paragraph" w:styleId="a4">
    <w:name w:val="header"/>
    <w:basedOn w:val="a"/>
    <w:link w:val="a5"/>
    <w:uiPriority w:val="99"/>
    <w:unhideWhenUsed/>
    <w:rsid w:val="007D08EB"/>
    <w:pPr>
      <w:tabs>
        <w:tab w:val="center" w:pos="4153"/>
        <w:tab w:val="right" w:pos="8306"/>
      </w:tabs>
      <w:snapToGrid w:val="0"/>
    </w:pPr>
    <w:rPr>
      <w:sz w:val="20"/>
      <w:szCs w:val="20"/>
    </w:rPr>
  </w:style>
  <w:style w:type="character" w:customStyle="1" w:styleId="a5">
    <w:name w:val="頁首 字元"/>
    <w:basedOn w:val="a0"/>
    <w:link w:val="a4"/>
    <w:uiPriority w:val="99"/>
    <w:rsid w:val="007D08EB"/>
    <w:rPr>
      <w:sz w:val="20"/>
      <w:szCs w:val="20"/>
    </w:rPr>
  </w:style>
  <w:style w:type="paragraph" w:styleId="a6">
    <w:name w:val="footer"/>
    <w:basedOn w:val="a"/>
    <w:link w:val="a7"/>
    <w:uiPriority w:val="99"/>
    <w:unhideWhenUsed/>
    <w:rsid w:val="007D08EB"/>
    <w:pPr>
      <w:tabs>
        <w:tab w:val="center" w:pos="4153"/>
        <w:tab w:val="right" w:pos="8306"/>
      </w:tabs>
      <w:snapToGrid w:val="0"/>
    </w:pPr>
    <w:rPr>
      <w:sz w:val="20"/>
      <w:szCs w:val="20"/>
    </w:rPr>
  </w:style>
  <w:style w:type="character" w:customStyle="1" w:styleId="a7">
    <w:name w:val="頁尾 字元"/>
    <w:basedOn w:val="a0"/>
    <w:link w:val="a6"/>
    <w:uiPriority w:val="99"/>
    <w:rsid w:val="007D08EB"/>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5B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1765B1"/>
    <w:pPr>
      <w:widowControl/>
      <w:spacing w:before="100" w:beforeAutospacing="1" w:after="100" w:afterAutospacing="1"/>
    </w:pPr>
    <w:rPr>
      <w:rFonts w:ascii="新細明體" w:eastAsia="新細明體" w:hAnsi="新細明體" w:cs="新細明體"/>
      <w:kern w:val="0"/>
      <w:szCs w:val="24"/>
    </w:rPr>
  </w:style>
  <w:style w:type="paragraph" w:styleId="a3">
    <w:name w:val="List Paragraph"/>
    <w:basedOn w:val="a"/>
    <w:uiPriority w:val="34"/>
    <w:qFormat/>
    <w:rsid w:val="001765B1"/>
    <w:pPr>
      <w:ind w:leftChars="200" w:left="480"/>
    </w:pPr>
  </w:style>
  <w:style w:type="paragraph" w:styleId="a4">
    <w:name w:val="header"/>
    <w:basedOn w:val="a"/>
    <w:link w:val="a5"/>
    <w:uiPriority w:val="99"/>
    <w:unhideWhenUsed/>
    <w:rsid w:val="007D08EB"/>
    <w:pPr>
      <w:tabs>
        <w:tab w:val="center" w:pos="4153"/>
        <w:tab w:val="right" w:pos="8306"/>
      </w:tabs>
      <w:snapToGrid w:val="0"/>
    </w:pPr>
    <w:rPr>
      <w:sz w:val="20"/>
      <w:szCs w:val="20"/>
    </w:rPr>
  </w:style>
  <w:style w:type="character" w:customStyle="1" w:styleId="a5">
    <w:name w:val="頁首 字元"/>
    <w:basedOn w:val="a0"/>
    <w:link w:val="a4"/>
    <w:uiPriority w:val="99"/>
    <w:rsid w:val="007D08EB"/>
    <w:rPr>
      <w:sz w:val="20"/>
      <w:szCs w:val="20"/>
    </w:rPr>
  </w:style>
  <w:style w:type="paragraph" w:styleId="a6">
    <w:name w:val="footer"/>
    <w:basedOn w:val="a"/>
    <w:link w:val="a7"/>
    <w:uiPriority w:val="99"/>
    <w:unhideWhenUsed/>
    <w:rsid w:val="007D08EB"/>
    <w:pPr>
      <w:tabs>
        <w:tab w:val="center" w:pos="4153"/>
        <w:tab w:val="right" w:pos="8306"/>
      </w:tabs>
      <w:snapToGrid w:val="0"/>
    </w:pPr>
    <w:rPr>
      <w:sz w:val="20"/>
      <w:szCs w:val="20"/>
    </w:rPr>
  </w:style>
  <w:style w:type="character" w:customStyle="1" w:styleId="a7">
    <w:name w:val="頁尾 字元"/>
    <w:basedOn w:val="a0"/>
    <w:link w:val="a6"/>
    <w:uiPriority w:val="99"/>
    <w:rsid w:val="007D08E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136</Words>
  <Characters>780</Characters>
  <Application>Microsoft Office Word</Application>
  <DocSecurity>0</DocSecurity>
  <Lines>6</Lines>
  <Paragraphs>1</Paragraphs>
  <ScaleCrop>false</ScaleCrop>
  <Company>Hewlett-Packard Company</Company>
  <LinksUpToDate>false</LinksUpToDate>
  <CharactersWithSpaces>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櫃檯買賣中心</dc:creator>
  <cp:lastModifiedBy>夏安</cp:lastModifiedBy>
  <cp:revision>3</cp:revision>
  <dcterms:created xsi:type="dcterms:W3CDTF">2016-05-10T02:37:00Z</dcterms:created>
  <dcterms:modified xsi:type="dcterms:W3CDTF">2016-05-19T06:30:00Z</dcterms:modified>
</cp:coreProperties>
</file>