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C" w:rsidRPr="00A327C8" w:rsidRDefault="0095618C" w:rsidP="0095618C">
      <w:pPr>
        <w:pStyle w:val="1"/>
        <w:spacing w:line="480" w:lineRule="exact"/>
        <w:ind w:left="708" w:hangingChars="221" w:hanging="708"/>
        <w:rPr>
          <w:rFonts w:ascii="標楷體" w:eastAsia="標楷體" w:hAnsi="標楷體"/>
          <w:sz w:val="32"/>
          <w:szCs w:val="32"/>
        </w:rPr>
      </w:pPr>
      <w:r>
        <w:rPr>
          <w:rFonts w:ascii="標楷體" w:eastAsia="標楷體" w:hAnsi="標楷體" w:hint="eastAsia"/>
          <w:sz w:val="32"/>
          <w:szCs w:val="32"/>
        </w:rPr>
        <w:t>四、</w:t>
      </w:r>
      <w:r w:rsidR="009F0456" w:rsidRPr="009A7B5F">
        <w:rPr>
          <w:rFonts w:ascii="標楷體" w:eastAsia="標楷體" w:hAnsi="標楷體" w:hint="eastAsia"/>
          <w:sz w:val="32"/>
          <w:szCs w:val="32"/>
        </w:rPr>
        <w:t>財團法人中華民國證券櫃檯買賣中心</w:t>
      </w:r>
      <w:bookmarkStart w:id="0" w:name="_GoBack"/>
      <w:r w:rsidR="009F0456">
        <w:rPr>
          <w:rFonts w:ascii="標楷體" w:eastAsia="標楷體" w:hAnsi="標楷體" w:hint="eastAsia"/>
          <w:sz w:val="32"/>
          <w:szCs w:val="32"/>
        </w:rPr>
        <w:t>綜合交易帳戶作業要點第肆點</w:t>
      </w:r>
      <w:r w:rsidR="009F0456" w:rsidRPr="009A7B5F">
        <w:rPr>
          <w:rFonts w:ascii="標楷體" w:eastAsia="標楷體" w:hAnsi="標楷體" w:hint="eastAsia"/>
          <w:sz w:val="32"/>
          <w:szCs w:val="32"/>
        </w:rPr>
        <w:t>修正條文對照表</w:t>
      </w:r>
      <w:bookmarkEnd w:id="0"/>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E2387C" w:rsidRPr="005E6FAC" w:rsidTr="00460456">
        <w:trPr>
          <w:tblHeader/>
        </w:trPr>
        <w:tc>
          <w:tcPr>
            <w:tcW w:w="3285"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修正條文</w:t>
            </w:r>
          </w:p>
        </w:tc>
        <w:tc>
          <w:tcPr>
            <w:tcW w:w="3285"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現行條文</w:t>
            </w:r>
          </w:p>
        </w:tc>
        <w:tc>
          <w:tcPr>
            <w:tcW w:w="3286" w:type="dxa"/>
            <w:tcBorders>
              <w:bottom w:val="single" w:sz="4" w:space="0" w:color="auto"/>
            </w:tcBorders>
            <w:shd w:val="clear" w:color="auto" w:fill="auto"/>
          </w:tcPr>
          <w:p w:rsidR="00E2387C" w:rsidRPr="005E6FAC" w:rsidRDefault="00E2387C" w:rsidP="00460456">
            <w:pPr>
              <w:jc w:val="distribute"/>
              <w:rPr>
                <w:rFonts w:ascii="Times New Roman" w:eastAsia="標楷體" w:hAnsi="Times New Roman"/>
              </w:rPr>
            </w:pPr>
            <w:r w:rsidRPr="005E6FAC">
              <w:rPr>
                <w:rFonts w:ascii="Times New Roman" w:eastAsia="標楷體" w:hAnsi="Times New Roman"/>
              </w:rPr>
              <w:t>說明</w:t>
            </w:r>
          </w:p>
        </w:tc>
      </w:tr>
      <w:tr w:rsidR="00E2387C" w:rsidRPr="009805C5" w:rsidTr="00842DF1">
        <w:tc>
          <w:tcPr>
            <w:tcW w:w="3285" w:type="dxa"/>
            <w:shd w:val="clear" w:color="auto" w:fill="auto"/>
          </w:tcPr>
          <w:p w:rsidR="00D15EB6" w:rsidRDefault="00D15EB6" w:rsidP="00D15EB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肆、</w:t>
            </w:r>
            <w:proofErr w:type="gramStart"/>
            <w:r w:rsidRPr="006F7B01">
              <w:rPr>
                <w:rFonts w:ascii="Times New Roman" w:eastAsia="標楷體" w:hAnsi="Times New Roman" w:hint="eastAsia"/>
              </w:rPr>
              <w:t>興櫃股票</w:t>
            </w:r>
            <w:proofErr w:type="gramEnd"/>
            <w:r w:rsidRPr="006F7B01">
              <w:rPr>
                <w:rFonts w:ascii="Times New Roman" w:eastAsia="標楷體" w:hAnsi="Times New Roman" w:hint="eastAsia"/>
              </w:rPr>
              <w:t>綜合交易帳戶申報作業</w:t>
            </w:r>
          </w:p>
          <w:p w:rsidR="00132B75" w:rsidRDefault="00D15EB6" w:rsidP="00132B75">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132B75">
              <w:rPr>
                <w:rFonts w:ascii="Times New Roman" w:eastAsia="標楷體" w:hAnsi="Times New Roman" w:hint="eastAsia"/>
              </w:rPr>
              <w:t>交易作業</w:t>
            </w:r>
            <w:r w:rsidR="0079300A">
              <w:rPr>
                <w:rFonts w:ascii="Times New Roman" w:eastAsia="標楷體" w:hAnsi="Times New Roman"/>
              </w:rPr>
              <w:br/>
            </w:r>
          </w:p>
          <w:p w:rsidR="00D15EB6" w:rsidRPr="00132B75" w:rsidRDefault="00132B75" w:rsidP="0079300A">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132B75">
              <w:rPr>
                <w:rFonts w:ascii="Times New Roman" w:eastAsia="標楷體" w:hAnsi="Times New Roman" w:hint="eastAsia"/>
              </w:rPr>
              <w:t>【第一款未修正，略】</w:t>
            </w:r>
            <w:r w:rsidRPr="00132B75">
              <w:rPr>
                <w:rFonts w:ascii="Times New Roman" w:eastAsia="標楷體" w:hAnsi="Times New Roman"/>
              </w:rPr>
              <w:br/>
            </w:r>
          </w:p>
          <w:p w:rsidR="00D15EB6" w:rsidRPr="006F7B01" w:rsidRDefault="00D15EB6" w:rsidP="00D15EB6">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6F7B01">
              <w:rPr>
                <w:rFonts w:ascii="Times New Roman" w:eastAsia="標楷體" w:hAnsi="Times New Roman" w:hint="eastAsia"/>
              </w:rPr>
              <w:t>成交分配及分配前</w:t>
            </w:r>
            <w:proofErr w:type="gramStart"/>
            <w:r w:rsidRPr="006F7B01">
              <w:rPr>
                <w:rFonts w:ascii="Times New Roman" w:eastAsia="標楷體" w:hAnsi="Times New Roman" w:hint="eastAsia"/>
              </w:rPr>
              <w:t>之改帳</w:t>
            </w:r>
            <w:proofErr w:type="gramEnd"/>
            <w:r w:rsidRPr="006F7B01">
              <w:rPr>
                <w:rFonts w:ascii="Times New Roman" w:eastAsia="標楷體" w:hAnsi="Times New Roman" w:hint="eastAsia"/>
              </w:rPr>
              <w:t>（指更正錯誤或取消交易）作業</w:t>
            </w:r>
            <w:r w:rsidR="008E6696">
              <w:rPr>
                <w:rFonts w:ascii="Times New Roman" w:eastAsia="標楷體" w:hAnsi="Times New Roman"/>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【第二款第一目未修正，略】</w:t>
            </w:r>
            <w:r>
              <w:rPr>
                <w:rFonts w:ascii="Times New Roman" w:eastAsia="標楷體" w:hAnsi="Times New Roman"/>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Times New Roman" w:eastAsia="標楷體" w:hAnsi="Times New Roman"/>
                <w:color w:val="FF0000"/>
                <w:u w:val="single"/>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D15EB6" w:rsidRPr="008E6696">
              <w:rPr>
                <w:rFonts w:ascii="Times New Roman" w:eastAsia="標楷體" w:hAnsi="Times New Roman" w:hint="eastAsia"/>
              </w:rPr>
              <w:t>證券商應於</w:t>
            </w:r>
            <w:proofErr w:type="gramStart"/>
            <w:r w:rsidR="00D15EB6" w:rsidRPr="008E6696">
              <w:rPr>
                <w:rFonts w:ascii="Times New Roman" w:eastAsia="標楷體" w:hAnsi="Times New Roman" w:hint="eastAsia"/>
              </w:rPr>
              <w:t>成交日按個別</w:t>
            </w:r>
            <w:proofErr w:type="gramEnd"/>
            <w:r w:rsidR="00D15EB6" w:rsidRPr="008E6696">
              <w:rPr>
                <w:rFonts w:ascii="Times New Roman" w:eastAsia="標楷體" w:hAnsi="Times New Roman" w:hint="eastAsia"/>
              </w:rPr>
              <w:t>證券申報分配明細，其申報各委託人之總成交金額及總成交數量，須與當日綜合交易</w:t>
            </w:r>
            <w:proofErr w:type="gramStart"/>
            <w:r w:rsidR="00D15EB6" w:rsidRPr="008E6696">
              <w:rPr>
                <w:rFonts w:ascii="Times New Roman" w:eastAsia="標楷體" w:hAnsi="Times New Roman" w:hint="eastAsia"/>
              </w:rPr>
              <w:t>帳戶改帳作業</w:t>
            </w:r>
            <w:proofErr w:type="gramEnd"/>
            <w:r w:rsidR="00D15EB6" w:rsidRPr="008E6696">
              <w:rPr>
                <w:rFonts w:ascii="Times New Roman" w:eastAsia="標楷體" w:hAnsi="Times New Roman" w:hint="eastAsia"/>
              </w:rPr>
              <w:t>後個別證券之總成交金額及總成交數量全部相同，並於當日下午四時至</w:t>
            </w:r>
            <w:r w:rsidR="00516E52" w:rsidRPr="008E6696">
              <w:rPr>
                <w:rFonts w:ascii="Times New Roman" w:eastAsia="標楷體" w:hAnsi="Times New Roman" w:hint="eastAsia"/>
                <w:color w:val="FF0000"/>
                <w:u w:val="single"/>
              </w:rPr>
              <w:t>六</w:t>
            </w:r>
            <w:r w:rsidR="00D15EB6" w:rsidRPr="008E6696">
              <w:rPr>
                <w:rFonts w:ascii="Times New Roman" w:eastAsia="標楷體" w:hAnsi="Times New Roman" w:hint="eastAsia"/>
              </w:rPr>
              <w:t>時申報分配後之成交</w:t>
            </w:r>
            <w:proofErr w:type="gramStart"/>
            <w:r w:rsidR="00D15EB6" w:rsidRPr="008E6696">
              <w:rPr>
                <w:rFonts w:ascii="Times New Roman" w:eastAsia="標楷體" w:hAnsi="Times New Roman" w:hint="eastAsia"/>
              </w:rPr>
              <w:t>明細至本</w:t>
            </w:r>
            <w:proofErr w:type="gramEnd"/>
            <w:r w:rsidR="00D15EB6" w:rsidRPr="008E6696">
              <w:rPr>
                <w:rFonts w:ascii="Times New Roman" w:eastAsia="標楷體" w:hAnsi="Times New Roman" w:hint="eastAsia"/>
              </w:rPr>
              <w:t>中心。</w:t>
            </w:r>
            <w:r w:rsidR="00985016" w:rsidRPr="008E6696">
              <w:rPr>
                <w:rFonts w:ascii="Times New Roman" w:eastAsia="標楷體" w:hAnsi="Times New Roman" w:hint="eastAsia"/>
                <w:color w:val="FF0000"/>
                <w:u w:val="single"/>
              </w:rPr>
              <w:t>但證券商未能完成外國委託人綜合交易帳戶（證券買賣帳號為</w:t>
            </w:r>
            <w:r w:rsidR="00985016" w:rsidRPr="008E6696">
              <w:rPr>
                <w:rFonts w:ascii="Times New Roman" w:eastAsia="標楷體" w:hAnsi="Times New Roman" w:hint="eastAsia"/>
                <w:color w:val="FF0000"/>
                <w:u w:val="single"/>
              </w:rPr>
              <w:t>995555</w:t>
            </w:r>
            <w:r w:rsidR="00985016" w:rsidRPr="008E6696">
              <w:rPr>
                <w:rFonts w:ascii="Times New Roman" w:eastAsia="標楷體" w:hAnsi="Times New Roman" w:hint="eastAsia"/>
                <w:color w:val="FF0000"/>
                <w:u w:val="single"/>
              </w:rPr>
              <w:t>－檢查碼）成交分配申報作業者，得於當日下午六時前依規定電腦格</w:t>
            </w:r>
            <w:r w:rsidR="008C1679" w:rsidRPr="008E6696">
              <w:rPr>
                <w:rFonts w:ascii="Times New Roman" w:eastAsia="標楷體" w:hAnsi="Times New Roman" w:hint="eastAsia"/>
                <w:color w:val="FF0000"/>
                <w:u w:val="single"/>
              </w:rPr>
              <w:t>式申報留存未完成分配之資料於原綜合交易帳戶下，並於成交日後第一營業日上午九時至下午六時完成分配後成交明細申報</w:t>
            </w:r>
            <w:r w:rsidR="00985016" w:rsidRPr="008E6696">
              <w:rPr>
                <w:rFonts w:ascii="Times New Roman" w:eastAsia="標楷體" w:hAnsi="Times New Roman" w:hint="eastAsia"/>
                <w:color w:val="FF0000"/>
                <w:u w:val="single"/>
              </w:rPr>
              <w:t>。</w:t>
            </w:r>
            <w:r>
              <w:rPr>
                <w:rFonts w:ascii="Times New Roman" w:eastAsia="標楷體" w:hAnsi="Times New Roman"/>
                <w:color w:val="FF0000"/>
                <w:u w:val="single"/>
              </w:rPr>
              <w:br/>
            </w:r>
          </w:p>
          <w:p w:rsidR="00D15EB6" w:rsidRP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w:t>
            </w:r>
            <w:r>
              <w:rPr>
                <w:rFonts w:ascii="Times New Roman" w:eastAsia="標楷體" w:hAnsi="Times New Roman" w:hint="eastAsia"/>
              </w:rPr>
              <w:t>三</w:t>
            </w:r>
            <w:r w:rsidRPr="008E6696">
              <w:rPr>
                <w:rFonts w:ascii="Times New Roman" w:eastAsia="標楷體" w:hAnsi="Times New Roman" w:hint="eastAsia"/>
              </w:rPr>
              <w:t>目</w:t>
            </w:r>
            <w:r>
              <w:rPr>
                <w:rFonts w:ascii="Times New Roman" w:eastAsia="標楷體" w:hAnsi="Times New Roman" w:hint="eastAsia"/>
              </w:rPr>
              <w:t>至第四目</w:t>
            </w:r>
            <w:r w:rsidRPr="008E6696">
              <w:rPr>
                <w:rFonts w:ascii="Times New Roman" w:eastAsia="標楷體" w:hAnsi="Times New Roman" w:hint="eastAsia"/>
              </w:rPr>
              <w:t>未修正，略】</w:t>
            </w:r>
            <w:r>
              <w:rPr>
                <w:rFonts w:ascii="Times New Roman" w:eastAsia="標楷體" w:hAnsi="Times New Roman"/>
              </w:rPr>
              <w:br/>
            </w:r>
          </w:p>
          <w:p w:rsidR="008E6696" w:rsidRDefault="00D15EB6" w:rsidP="00D15EB6">
            <w:pPr>
              <w:widowControl/>
              <w:numPr>
                <w:ilvl w:val="0"/>
                <w:numId w:val="13"/>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9A2C46">
              <w:rPr>
                <w:rFonts w:ascii="Times New Roman" w:eastAsia="標楷體" w:hAnsi="Times New Roman" w:hint="eastAsia"/>
              </w:rPr>
              <w:t>證券商應於成交日後第一營業日</w:t>
            </w:r>
            <w:r w:rsidR="00516E52">
              <w:rPr>
                <w:rFonts w:ascii="Times New Roman" w:eastAsia="標楷體" w:hAnsi="Times New Roman" w:hint="eastAsia"/>
                <w:color w:val="FF0000"/>
                <w:u w:val="single"/>
              </w:rPr>
              <w:t>下</w:t>
            </w:r>
            <w:r w:rsidRPr="009A2C46">
              <w:rPr>
                <w:rFonts w:ascii="Times New Roman" w:eastAsia="標楷體" w:hAnsi="Times New Roman" w:hint="eastAsia"/>
              </w:rPr>
              <w:t>午</w:t>
            </w:r>
            <w:r w:rsidR="00516E52" w:rsidRPr="00516E52">
              <w:rPr>
                <w:rFonts w:ascii="Times New Roman" w:eastAsia="標楷體" w:hAnsi="Times New Roman" w:hint="eastAsia"/>
                <w:color w:val="FF0000"/>
                <w:u w:val="single"/>
              </w:rPr>
              <w:t>六</w:t>
            </w:r>
            <w:r w:rsidRPr="009A2C46">
              <w:rPr>
                <w:rFonts w:ascii="Times New Roman" w:eastAsia="標楷體" w:hAnsi="Times New Roman" w:hint="eastAsia"/>
              </w:rPr>
              <w:t>時前，申報各委託人或受任人之委託</w:t>
            </w:r>
            <w:proofErr w:type="gramStart"/>
            <w:r w:rsidRPr="009A2C46">
              <w:rPr>
                <w:rFonts w:ascii="Times New Roman" w:eastAsia="標楷體" w:hAnsi="Times New Roman" w:hint="eastAsia"/>
              </w:rPr>
              <w:t>明細至本</w:t>
            </w:r>
            <w:proofErr w:type="gramEnd"/>
            <w:r w:rsidRPr="009A2C46">
              <w:rPr>
                <w:rFonts w:ascii="Times New Roman" w:eastAsia="標楷體" w:hAnsi="Times New Roman" w:hint="eastAsia"/>
              </w:rPr>
              <w:t>中心。前揭委託</w:t>
            </w:r>
            <w:proofErr w:type="gramStart"/>
            <w:r w:rsidRPr="009A2C46">
              <w:rPr>
                <w:rFonts w:ascii="Times New Roman" w:eastAsia="標楷體" w:hAnsi="Times New Roman" w:hint="eastAsia"/>
              </w:rPr>
              <w:t>明細應含</w:t>
            </w:r>
            <w:proofErr w:type="gramEnd"/>
            <w:r w:rsidRPr="009A2C46">
              <w:rPr>
                <w:rFonts w:ascii="Times New Roman" w:eastAsia="標楷體" w:hAnsi="Times New Roman" w:hint="eastAsia"/>
              </w:rPr>
              <w:t>委託日期、證券商代號、綜合交易帳戶帳號、證券代號、買賣別、委託序號、委託人或受任人之代號及名稱、委託數量等。前揭同一委託人或受任人得使用一個以上之代號。本中心得視業務需要，請證券商即時提供相關資料。</w:t>
            </w:r>
            <w:r w:rsidR="004454F9">
              <w:rPr>
                <w:rFonts w:ascii="Times New Roman" w:eastAsia="標楷體" w:hAnsi="Times New Roman"/>
              </w:rPr>
              <w:br/>
            </w:r>
          </w:p>
          <w:p w:rsidR="00D15EB6" w:rsidRPr="008E6696"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【第四款未修正，略】</w:t>
            </w:r>
            <w:r>
              <w:rPr>
                <w:rFonts w:ascii="Times New Roman" w:eastAsia="標楷體" w:hAnsi="Times New Roman"/>
              </w:rPr>
              <w:br/>
            </w:r>
          </w:p>
          <w:p w:rsidR="00D15EB6" w:rsidRPr="006F7B01" w:rsidRDefault="00D15EB6" w:rsidP="008E6696">
            <w:pPr>
              <w:widowControl/>
              <w:numPr>
                <w:ilvl w:val="0"/>
                <w:numId w:val="37"/>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成交分配後</w:t>
            </w:r>
            <w:proofErr w:type="gramStart"/>
            <w:r w:rsidRPr="006F7B01">
              <w:rPr>
                <w:rFonts w:ascii="Times New Roman" w:eastAsia="標楷體" w:hAnsi="Times New Roman" w:hint="eastAsia"/>
              </w:rPr>
              <w:t>申報改帳及</w:t>
            </w:r>
            <w:proofErr w:type="gramEnd"/>
            <w:r w:rsidRPr="006F7B01">
              <w:rPr>
                <w:rFonts w:ascii="Times New Roman" w:eastAsia="標楷體" w:hAnsi="Times New Roman" w:hint="eastAsia"/>
              </w:rPr>
              <w:t>調整成交分配作業：</w:t>
            </w:r>
          </w:p>
          <w:p w:rsidR="00D15EB6" w:rsidRPr="009A2C46" w:rsidRDefault="00D15EB6" w:rsidP="00D15EB6">
            <w:pPr>
              <w:pStyle w:val="aa"/>
              <w:widowControl/>
              <w:numPr>
                <w:ilvl w:val="0"/>
                <w:numId w:val="19"/>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9A2C46">
              <w:rPr>
                <w:rFonts w:ascii="Times New Roman" w:eastAsia="標楷體" w:hAnsi="Times New Roman" w:hint="eastAsia"/>
              </w:rPr>
              <w:t>證券經紀商於申報成交分配後發現受託買賣發生錯誤，無法</w:t>
            </w:r>
            <w:proofErr w:type="gramStart"/>
            <w:r w:rsidRPr="009A2C46">
              <w:rPr>
                <w:rFonts w:ascii="Times New Roman" w:eastAsia="標楷體" w:hAnsi="Times New Roman" w:hint="eastAsia"/>
              </w:rPr>
              <w:t>完成興櫃股票</w:t>
            </w:r>
            <w:proofErr w:type="gramEnd"/>
            <w:r w:rsidRPr="009A2C46">
              <w:rPr>
                <w:rFonts w:ascii="Times New Roman" w:eastAsia="標楷體" w:hAnsi="Times New Roman" w:hint="eastAsia"/>
              </w:rPr>
              <w:t>給付者，得於成交日後第一營業日上午九時至</w:t>
            </w:r>
            <w:r w:rsidR="00516E52" w:rsidRPr="00516E52">
              <w:rPr>
                <w:rFonts w:ascii="Times New Roman" w:eastAsia="標楷體" w:hAnsi="Times New Roman" w:hint="eastAsia"/>
                <w:color w:val="FF0000"/>
                <w:u w:val="single"/>
              </w:rPr>
              <w:t>下午六</w:t>
            </w:r>
            <w:r w:rsidRPr="009A2C46">
              <w:rPr>
                <w:rFonts w:ascii="Times New Roman" w:eastAsia="標楷體" w:hAnsi="Times New Roman" w:hint="eastAsia"/>
              </w:rPr>
              <w:t>時</w:t>
            </w:r>
            <w:r w:rsidR="00516E52">
              <w:rPr>
                <w:rFonts w:ascii="Times New Roman" w:eastAsia="標楷體" w:hAnsi="Times New Roman" w:hint="eastAsia"/>
              </w:rPr>
              <w:t>前</w:t>
            </w:r>
            <w:r w:rsidRPr="009A2C46">
              <w:rPr>
                <w:rFonts w:ascii="Times New Roman" w:eastAsia="標楷體" w:hAnsi="Times New Roman" w:hint="eastAsia"/>
              </w:rPr>
              <w:t>向本中心申報撤銷原成交分配明細，其</w:t>
            </w:r>
            <w:proofErr w:type="gramStart"/>
            <w:r w:rsidRPr="009A2C46">
              <w:rPr>
                <w:rFonts w:ascii="Times New Roman" w:eastAsia="標楷體" w:hAnsi="Times New Roman" w:hint="eastAsia"/>
              </w:rPr>
              <w:t>有改帳及</w:t>
            </w:r>
            <w:proofErr w:type="gramEnd"/>
            <w:r w:rsidRPr="009A2C46">
              <w:rPr>
                <w:rFonts w:ascii="Times New Roman" w:eastAsia="標楷體" w:hAnsi="Times New Roman" w:hint="eastAsia"/>
              </w:rPr>
              <w:t>調整成交分配之必要者，應同時為之。</w:t>
            </w:r>
            <w:r w:rsidR="008E6696">
              <w:rPr>
                <w:rFonts w:ascii="Times New Roman" w:eastAsia="標楷體" w:hAnsi="Times New Roman"/>
              </w:rPr>
              <w:br/>
            </w:r>
          </w:p>
          <w:p w:rsidR="00E2387C" w:rsidRPr="005E6FAC"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【以下未修正，略】</w:t>
            </w:r>
          </w:p>
        </w:tc>
        <w:tc>
          <w:tcPr>
            <w:tcW w:w="3285" w:type="dxa"/>
            <w:shd w:val="clear" w:color="auto" w:fill="auto"/>
          </w:tcPr>
          <w:p w:rsidR="00E2387C" w:rsidRDefault="00E2387C" w:rsidP="0046045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lastRenderedPageBreak/>
              <w:t>肆、</w:t>
            </w:r>
            <w:proofErr w:type="gramStart"/>
            <w:r w:rsidRPr="006F7B01">
              <w:rPr>
                <w:rFonts w:ascii="Times New Roman" w:eastAsia="標楷體" w:hAnsi="Times New Roman" w:hint="eastAsia"/>
              </w:rPr>
              <w:t>興櫃股票</w:t>
            </w:r>
            <w:proofErr w:type="gramEnd"/>
            <w:r w:rsidRPr="006F7B01">
              <w:rPr>
                <w:rFonts w:ascii="Times New Roman" w:eastAsia="標楷體" w:hAnsi="Times New Roman" w:hint="eastAsia"/>
              </w:rPr>
              <w:t>綜合交易帳戶申報作業</w:t>
            </w:r>
          </w:p>
          <w:p w:rsidR="00E2387C" w:rsidRPr="006F7B01"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交易作業</w:t>
            </w:r>
            <w:r w:rsidR="0079300A">
              <w:rPr>
                <w:rFonts w:ascii="Times New Roman" w:eastAsia="標楷體" w:hAnsi="Times New Roman"/>
              </w:rPr>
              <w:br/>
            </w:r>
          </w:p>
          <w:p w:rsidR="00E2387C" w:rsidRPr="0079300A" w:rsidRDefault="00132B75" w:rsidP="00132B75">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79300A">
              <w:rPr>
                <w:rFonts w:ascii="Times New Roman" w:eastAsia="標楷體" w:hAnsi="Times New Roman" w:hint="eastAsia"/>
              </w:rPr>
              <w:t>【第一款未修正，略】</w:t>
            </w:r>
            <w:r w:rsidRPr="0079300A">
              <w:rPr>
                <w:rFonts w:ascii="Times New Roman" w:eastAsia="標楷體" w:hAnsi="Times New Roman"/>
              </w:rPr>
              <w:br/>
            </w:r>
          </w:p>
          <w:p w:rsidR="00E2387C" w:rsidRPr="006F7B01"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6F7B01">
              <w:rPr>
                <w:rFonts w:ascii="Times New Roman" w:eastAsia="標楷體" w:hAnsi="Times New Roman" w:hint="eastAsia"/>
              </w:rPr>
              <w:t>成交分配及分配前</w:t>
            </w:r>
            <w:proofErr w:type="gramStart"/>
            <w:r w:rsidRPr="006F7B01">
              <w:rPr>
                <w:rFonts w:ascii="Times New Roman" w:eastAsia="標楷體" w:hAnsi="Times New Roman" w:hint="eastAsia"/>
              </w:rPr>
              <w:t>之改帳</w:t>
            </w:r>
            <w:proofErr w:type="gramEnd"/>
            <w:r w:rsidRPr="006F7B01">
              <w:rPr>
                <w:rFonts w:ascii="Times New Roman" w:eastAsia="標楷體" w:hAnsi="Times New Roman" w:hint="eastAsia"/>
              </w:rPr>
              <w:t>（指更正錯誤或取消交易）作業</w:t>
            </w:r>
            <w:r w:rsidR="008E6696">
              <w:rPr>
                <w:rFonts w:ascii="Times New Roman" w:eastAsia="標楷體" w:hAnsi="Times New Roman"/>
              </w:rPr>
              <w:br/>
            </w:r>
          </w:p>
          <w:p w:rsidR="008E6696"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【第二款第一目未修正，略】</w:t>
            </w:r>
            <w:r>
              <w:rPr>
                <w:rFonts w:ascii="Times New Roman" w:eastAsia="標楷體" w:hAnsi="Times New Roman"/>
              </w:rPr>
              <w:br/>
            </w:r>
          </w:p>
          <w:p w:rsidR="008E6696" w:rsidRPr="00A95913" w:rsidRDefault="008E6696" w:rsidP="008E6696">
            <w:pPr>
              <w:widowControl/>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E2387C" w:rsidRPr="008E6696">
              <w:rPr>
                <w:rFonts w:ascii="Times New Roman" w:eastAsia="標楷體" w:hAnsi="Times New Roman" w:hint="eastAsia"/>
              </w:rPr>
              <w:t>證券商應於</w:t>
            </w:r>
            <w:proofErr w:type="gramStart"/>
            <w:r w:rsidR="00E2387C" w:rsidRPr="008E6696">
              <w:rPr>
                <w:rFonts w:ascii="Times New Roman" w:eastAsia="標楷體" w:hAnsi="Times New Roman" w:hint="eastAsia"/>
              </w:rPr>
              <w:t>成交日按個別</w:t>
            </w:r>
            <w:proofErr w:type="gramEnd"/>
            <w:r w:rsidR="00E2387C" w:rsidRPr="008E6696">
              <w:rPr>
                <w:rFonts w:ascii="Times New Roman" w:eastAsia="標楷體" w:hAnsi="Times New Roman" w:hint="eastAsia"/>
              </w:rPr>
              <w:t>證券申報分配明細，其申報各委託人之總成交金額及總成交數量，須與當日綜合交易</w:t>
            </w:r>
            <w:proofErr w:type="gramStart"/>
            <w:r w:rsidR="00E2387C" w:rsidRPr="008E6696">
              <w:rPr>
                <w:rFonts w:ascii="Times New Roman" w:eastAsia="標楷體" w:hAnsi="Times New Roman" w:hint="eastAsia"/>
              </w:rPr>
              <w:t>帳戶改帳作業</w:t>
            </w:r>
            <w:proofErr w:type="gramEnd"/>
            <w:r w:rsidR="00E2387C" w:rsidRPr="008E6696">
              <w:rPr>
                <w:rFonts w:ascii="Times New Roman" w:eastAsia="標楷體" w:hAnsi="Times New Roman" w:hint="eastAsia"/>
              </w:rPr>
              <w:t>後個別證券之總成交金額及總成交數量全部相同，並於當日下午四時至</w:t>
            </w:r>
            <w:r w:rsidR="00E2387C" w:rsidRPr="008E6696">
              <w:rPr>
                <w:rFonts w:ascii="Times New Roman" w:eastAsia="標楷體" w:hAnsi="Times New Roman" w:hint="eastAsia"/>
                <w:color w:val="FF0000"/>
                <w:u w:val="single"/>
              </w:rPr>
              <w:t>五</w:t>
            </w:r>
            <w:r w:rsidR="00E2387C" w:rsidRPr="008E6696">
              <w:rPr>
                <w:rFonts w:ascii="Times New Roman" w:eastAsia="標楷體" w:hAnsi="Times New Roman" w:hint="eastAsia"/>
              </w:rPr>
              <w:t>時申報分配後之成交</w:t>
            </w:r>
            <w:proofErr w:type="gramStart"/>
            <w:r w:rsidR="00E2387C" w:rsidRPr="008E6696">
              <w:rPr>
                <w:rFonts w:ascii="Times New Roman" w:eastAsia="標楷體" w:hAnsi="Times New Roman" w:hint="eastAsia"/>
              </w:rPr>
              <w:t>明細至本</w:t>
            </w:r>
            <w:proofErr w:type="gramEnd"/>
            <w:r w:rsidR="00E2387C" w:rsidRPr="008E6696">
              <w:rPr>
                <w:rFonts w:ascii="Times New Roman" w:eastAsia="標楷體" w:hAnsi="Times New Roman" w:hint="eastAsia"/>
              </w:rPr>
              <w:t>中心。</w:t>
            </w:r>
            <w:r w:rsidR="00985016" w:rsidRPr="008E6696">
              <w:rPr>
                <w:rFonts w:ascii="Times New Roman" w:eastAsia="標楷體" w:hAnsi="Times New Roman"/>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Pr>
                <w:rFonts w:ascii="Times New Roman" w:eastAsia="標楷體" w:hAnsi="Times New Roman"/>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r w:rsidR="00985016" w:rsidRPr="008E6696">
              <w:rPr>
                <w:rFonts w:ascii="Times New Roman" w:eastAsia="標楷體" w:hAnsi="Times New Roman" w:hint="eastAsia"/>
              </w:rPr>
              <w:br/>
            </w:r>
          </w:p>
          <w:p w:rsidR="00E2387C" w:rsidRDefault="00E2387C" w:rsidP="008E6696">
            <w:pPr>
              <w:pStyle w:val="aa"/>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p>
          <w:p w:rsidR="008E6696" w:rsidRDefault="008E6696" w:rsidP="008E6696">
            <w:pPr>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8E6696">
              <w:rPr>
                <w:rFonts w:ascii="Times New Roman" w:eastAsia="標楷體" w:hAnsi="Times New Roman" w:hint="eastAsia"/>
              </w:rPr>
              <w:t>【第二款第</w:t>
            </w:r>
            <w:r>
              <w:rPr>
                <w:rFonts w:ascii="Times New Roman" w:eastAsia="標楷體" w:hAnsi="Times New Roman" w:hint="eastAsia"/>
              </w:rPr>
              <w:t>三</w:t>
            </w:r>
            <w:r w:rsidRPr="008E6696">
              <w:rPr>
                <w:rFonts w:ascii="Times New Roman" w:eastAsia="標楷體" w:hAnsi="Times New Roman" w:hint="eastAsia"/>
              </w:rPr>
              <w:t>目</w:t>
            </w:r>
            <w:r>
              <w:rPr>
                <w:rFonts w:ascii="Times New Roman" w:eastAsia="標楷體" w:hAnsi="Times New Roman" w:hint="eastAsia"/>
              </w:rPr>
              <w:t>至第四目</w:t>
            </w:r>
            <w:r w:rsidRPr="008E6696">
              <w:rPr>
                <w:rFonts w:ascii="Times New Roman" w:eastAsia="標楷體" w:hAnsi="Times New Roman" w:hint="eastAsia"/>
              </w:rPr>
              <w:t>未修正，略】</w:t>
            </w:r>
          </w:p>
          <w:p w:rsidR="008E6696" w:rsidRPr="008E6696" w:rsidRDefault="008E6696" w:rsidP="008E6696">
            <w:pPr>
              <w:widowControl/>
              <w:tabs>
                <w:tab w:val="left" w:pos="401"/>
                <w:tab w:val="left" w:pos="543"/>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p w:rsidR="00E2387C" w:rsidRPr="009A2C46" w:rsidRDefault="00E2387C" w:rsidP="00D15EB6">
            <w:pPr>
              <w:widowControl/>
              <w:numPr>
                <w:ilvl w:val="0"/>
                <w:numId w:val="20"/>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hanging="544"/>
              <w:jc w:val="both"/>
              <w:rPr>
                <w:rFonts w:ascii="Times New Roman" w:eastAsia="標楷體" w:hAnsi="Times New Roman"/>
              </w:rPr>
            </w:pPr>
            <w:r w:rsidRPr="009A2C46">
              <w:rPr>
                <w:rFonts w:ascii="Times New Roman" w:eastAsia="標楷體" w:hAnsi="Times New Roman" w:hint="eastAsia"/>
              </w:rPr>
              <w:t>證券商應於成交日後第一營業日</w:t>
            </w:r>
            <w:r w:rsidRPr="00BB0879">
              <w:rPr>
                <w:rFonts w:ascii="Times New Roman" w:eastAsia="標楷體" w:hAnsi="Times New Roman" w:hint="eastAsia"/>
                <w:color w:val="FF0000"/>
                <w:u w:val="single"/>
              </w:rPr>
              <w:t>上</w:t>
            </w:r>
            <w:r w:rsidRPr="009A2C46">
              <w:rPr>
                <w:rFonts w:ascii="Times New Roman" w:eastAsia="標楷體" w:hAnsi="Times New Roman" w:hint="eastAsia"/>
              </w:rPr>
              <w:t>午</w:t>
            </w:r>
            <w:r w:rsidRPr="00BB0879">
              <w:rPr>
                <w:rFonts w:ascii="Times New Roman" w:eastAsia="標楷體" w:hAnsi="Times New Roman" w:hint="eastAsia"/>
                <w:color w:val="FF0000"/>
                <w:u w:val="single"/>
              </w:rPr>
              <w:t>十二</w:t>
            </w:r>
            <w:r w:rsidRPr="009A2C46">
              <w:rPr>
                <w:rFonts w:ascii="Times New Roman" w:eastAsia="標楷體" w:hAnsi="Times New Roman" w:hint="eastAsia"/>
              </w:rPr>
              <w:t>時前，申報各委託人或受任</w:t>
            </w:r>
            <w:r w:rsidRPr="009A2C46">
              <w:rPr>
                <w:rFonts w:ascii="Times New Roman" w:eastAsia="標楷體" w:hAnsi="Times New Roman" w:hint="eastAsia"/>
              </w:rPr>
              <w:t xml:space="preserve">    </w:t>
            </w:r>
            <w:r w:rsidRPr="009A2C46">
              <w:rPr>
                <w:rFonts w:ascii="Times New Roman" w:eastAsia="標楷體" w:hAnsi="Times New Roman" w:hint="eastAsia"/>
              </w:rPr>
              <w:t>人之委託</w:t>
            </w:r>
            <w:proofErr w:type="gramStart"/>
            <w:r w:rsidRPr="009A2C46">
              <w:rPr>
                <w:rFonts w:ascii="Times New Roman" w:eastAsia="標楷體" w:hAnsi="Times New Roman" w:hint="eastAsia"/>
              </w:rPr>
              <w:t>明細至本</w:t>
            </w:r>
            <w:proofErr w:type="gramEnd"/>
            <w:r w:rsidRPr="009A2C46">
              <w:rPr>
                <w:rFonts w:ascii="Times New Roman" w:eastAsia="標楷體" w:hAnsi="Times New Roman" w:hint="eastAsia"/>
              </w:rPr>
              <w:t>中心。前揭委託</w:t>
            </w:r>
            <w:proofErr w:type="gramStart"/>
            <w:r w:rsidRPr="009A2C46">
              <w:rPr>
                <w:rFonts w:ascii="Times New Roman" w:eastAsia="標楷體" w:hAnsi="Times New Roman" w:hint="eastAsia"/>
              </w:rPr>
              <w:t>明細應含</w:t>
            </w:r>
            <w:proofErr w:type="gramEnd"/>
            <w:r w:rsidRPr="009A2C46">
              <w:rPr>
                <w:rFonts w:ascii="Times New Roman" w:eastAsia="標楷體" w:hAnsi="Times New Roman" w:hint="eastAsia"/>
              </w:rPr>
              <w:t>委託日期、證券商代號、綜合交易帳戶帳號、證券代號、買賣別、委託序號、委託人或受任人之代號及名稱、委託數量等。前揭同一委託人或受任人得使用一個以上之代號。本中心得視業務需要，請證券商即時提供相關資料。</w:t>
            </w:r>
          </w:p>
          <w:p w:rsidR="008E6696" w:rsidRPr="008E6696"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【第四款未修正，略】</w:t>
            </w:r>
            <w:r>
              <w:rPr>
                <w:rFonts w:ascii="Times New Roman" w:eastAsia="標楷體" w:hAnsi="Times New Roman"/>
              </w:rPr>
              <w:br/>
            </w:r>
          </w:p>
          <w:p w:rsidR="00E2387C" w:rsidRPr="006F7B01" w:rsidRDefault="00E2387C" w:rsidP="008E6696">
            <w:pPr>
              <w:widowControl/>
              <w:numPr>
                <w:ilvl w:val="0"/>
                <w:numId w:val="38"/>
              </w:numPr>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6F7B01">
              <w:rPr>
                <w:rFonts w:ascii="Times New Roman" w:eastAsia="標楷體" w:hAnsi="Times New Roman" w:hint="eastAsia"/>
              </w:rPr>
              <w:t>成交分配後</w:t>
            </w:r>
            <w:proofErr w:type="gramStart"/>
            <w:r w:rsidRPr="006F7B01">
              <w:rPr>
                <w:rFonts w:ascii="Times New Roman" w:eastAsia="標楷體" w:hAnsi="Times New Roman" w:hint="eastAsia"/>
              </w:rPr>
              <w:t>申報改帳及</w:t>
            </w:r>
            <w:proofErr w:type="gramEnd"/>
            <w:r w:rsidRPr="006F7B01">
              <w:rPr>
                <w:rFonts w:ascii="Times New Roman" w:eastAsia="標楷體" w:hAnsi="Times New Roman" w:hint="eastAsia"/>
              </w:rPr>
              <w:t>調整成交分配作業：</w:t>
            </w:r>
          </w:p>
          <w:p w:rsidR="00E2387C" w:rsidRPr="009A2C46" w:rsidRDefault="00E2387C" w:rsidP="00D15EB6">
            <w:pPr>
              <w:pStyle w:val="aa"/>
              <w:widowControl/>
              <w:numPr>
                <w:ilvl w:val="0"/>
                <w:numId w:val="23"/>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9A2C46">
              <w:rPr>
                <w:rFonts w:ascii="Times New Roman" w:eastAsia="標楷體" w:hAnsi="Times New Roman" w:hint="eastAsia"/>
              </w:rPr>
              <w:t>證券經紀商於申報成交分配後發現受託買賣發生錯誤，無法</w:t>
            </w:r>
            <w:proofErr w:type="gramStart"/>
            <w:r w:rsidRPr="009A2C46">
              <w:rPr>
                <w:rFonts w:ascii="Times New Roman" w:eastAsia="標楷體" w:hAnsi="Times New Roman" w:hint="eastAsia"/>
              </w:rPr>
              <w:t>完成興櫃股票</w:t>
            </w:r>
            <w:proofErr w:type="gramEnd"/>
            <w:r w:rsidRPr="009A2C46">
              <w:rPr>
                <w:rFonts w:ascii="Times New Roman" w:eastAsia="標楷體" w:hAnsi="Times New Roman" w:hint="eastAsia"/>
              </w:rPr>
              <w:t>給付者，得於成交日後第一營業日上午九時至</w:t>
            </w:r>
            <w:r w:rsidRPr="00516E52">
              <w:rPr>
                <w:rFonts w:ascii="Times New Roman" w:eastAsia="標楷體" w:hAnsi="Times New Roman" w:hint="eastAsia"/>
                <w:color w:val="FF0000"/>
                <w:u w:val="single"/>
              </w:rPr>
              <w:t>十二</w:t>
            </w:r>
            <w:r w:rsidRPr="009A2C46">
              <w:rPr>
                <w:rFonts w:ascii="Times New Roman" w:eastAsia="標楷體" w:hAnsi="Times New Roman" w:hint="eastAsia"/>
              </w:rPr>
              <w:t>時前向本中心申報撤銷原成交分配明細，其</w:t>
            </w:r>
            <w:proofErr w:type="gramStart"/>
            <w:r w:rsidRPr="009A2C46">
              <w:rPr>
                <w:rFonts w:ascii="Times New Roman" w:eastAsia="標楷體" w:hAnsi="Times New Roman" w:hint="eastAsia"/>
              </w:rPr>
              <w:t>有改帳及</w:t>
            </w:r>
            <w:proofErr w:type="gramEnd"/>
            <w:r w:rsidRPr="009A2C46">
              <w:rPr>
                <w:rFonts w:ascii="Times New Roman" w:eastAsia="標楷體" w:hAnsi="Times New Roman" w:hint="eastAsia"/>
              </w:rPr>
              <w:t>調整成交分配之必要者，應同時為之。</w:t>
            </w:r>
          </w:p>
          <w:p w:rsidR="00E2387C" w:rsidRDefault="00E2387C"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
              <w:jc w:val="both"/>
              <w:rPr>
                <w:rFonts w:ascii="Times New Roman" w:eastAsia="標楷體" w:hAnsi="Times New Roman"/>
              </w:rPr>
            </w:pPr>
          </w:p>
          <w:p w:rsidR="008E6696" w:rsidRPr="005E6FAC" w:rsidRDefault="008E6696" w:rsidP="008E6696">
            <w:pPr>
              <w:widowControl/>
              <w:tabs>
                <w:tab w:val="left" w:pos="5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Pr>
                <w:rFonts w:ascii="Times New Roman" w:eastAsia="標楷體" w:hAnsi="Times New Roman" w:hint="eastAsia"/>
              </w:rPr>
              <w:t>【以下未修正，略】</w:t>
            </w:r>
          </w:p>
        </w:tc>
        <w:tc>
          <w:tcPr>
            <w:tcW w:w="3286" w:type="dxa"/>
            <w:shd w:val="clear" w:color="auto" w:fill="auto"/>
          </w:tcPr>
          <w:p w:rsidR="00E2387C" w:rsidRDefault="00692E2B" w:rsidP="00692E2B">
            <w:pPr>
              <w:widowControl/>
              <w:numPr>
                <w:ilvl w:val="0"/>
                <w:numId w:val="2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roofErr w:type="gramStart"/>
            <w:r w:rsidRPr="00692E2B">
              <w:rPr>
                <w:rFonts w:ascii="Times New Roman" w:eastAsia="標楷體" w:hAnsi="Times New Roman" w:hint="eastAsia"/>
              </w:rPr>
              <w:lastRenderedPageBreak/>
              <w:t>因興櫃</w:t>
            </w:r>
            <w:proofErr w:type="gramEnd"/>
            <w:r w:rsidRPr="00692E2B">
              <w:rPr>
                <w:rFonts w:ascii="Times New Roman" w:eastAsia="標楷體" w:hAnsi="Times New Roman" w:hint="eastAsia"/>
              </w:rPr>
              <w:t>股票</w:t>
            </w:r>
            <w:r w:rsidR="00494CFD">
              <w:rPr>
                <w:rFonts w:ascii="Times New Roman" w:eastAsia="標楷體" w:hAnsi="Times New Roman" w:hint="eastAsia"/>
              </w:rPr>
              <w:t>給付結算</w:t>
            </w:r>
            <w:r w:rsidRPr="00692E2B">
              <w:rPr>
                <w:rFonts w:ascii="Times New Roman" w:eastAsia="標楷體" w:hAnsi="Times New Roman" w:hint="eastAsia"/>
              </w:rPr>
              <w:t>調整為</w:t>
            </w:r>
            <w:r w:rsidR="00494CFD">
              <w:rPr>
                <w:rFonts w:ascii="Times New Roman" w:eastAsia="標楷體" w:hAnsi="Times New Roman" w:hint="eastAsia"/>
              </w:rPr>
              <w:t>T+2</w:t>
            </w:r>
            <w:r w:rsidR="00494CFD">
              <w:rPr>
                <w:rFonts w:ascii="Times New Roman" w:eastAsia="標楷體" w:hAnsi="Times New Roman" w:hint="eastAsia"/>
              </w:rPr>
              <w:t>日</w:t>
            </w:r>
            <w:r w:rsidRPr="00692E2B">
              <w:rPr>
                <w:rFonts w:ascii="Times New Roman" w:eastAsia="標楷體" w:hAnsi="Times New Roman" w:hint="eastAsia"/>
              </w:rPr>
              <w:t>款</w:t>
            </w:r>
            <w:proofErr w:type="gramStart"/>
            <w:r w:rsidRPr="00692E2B">
              <w:rPr>
                <w:rFonts w:ascii="Times New Roman" w:eastAsia="標楷體" w:hAnsi="Times New Roman" w:hint="eastAsia"/>
              </w:rPr>
              <w:t>券</w:t>
            </w:r>
            <w:proofErr w:type="gramEnd"/>
            <w:r w:rsidRPr="00692E2B">
              <w:rPr>
                <w:rFonts w:ascii="Times New Roman" w:eastAsia="標楷體" w:hAnsi="Times New Roman" w:hint="eastAsia"/>
              </w:rPr>
              <w:t>同日交割，故</w:t>
            </w:r>
            <w:r w:rsidR="00DA6D16">
              <w:rPr>
                <w:rFonts w:ascii="Times New Roman" w:eastAsia="標楷體" w:hAnsi="Times New Roman" w:hint="eastAsia"/>
              </w:rPr>
              <w:t>配合</w:t>
            </w:r>
            <w:r w:rsidRPr="00692E2B">
              <w:rPr>
                <w:rFonts w:ascii="Times New Roman" w:eastAsia="標楷體" w:hAnsi="Times New Roman" w:hint="eastAsia"/>
              </w:rPr>
              <w:t>延長透過綜合交易帳戶</w:t>
            </w:r>
            <w:proofErr w:type="gramStart"/>
            <w:r w:rsidRPr="00692E2B">
              <w:rPr>
                <w:rFonts w:ascii="Times New Roman" w:eastAsia="標楷體" w:hAnsi="Times New Roman" w:hint="eastAsia"/>
              </w:rPr>
              <w:t>買賣興櫃股票</w:t>
            </w:r>
            <w:proofErr w:type="gramEnd"/>
            <w:r w:rsidRPr="00692E2B">
              <w:rPr>
                <w:rFonts w:ascii="Times New Roman" w:eastAsia="標楷體" w:hAnsi="Times New Roman" w:hint="eastAsia"/>
              </w:rPr>
              <w:t>之申報時程，改為與上市</w:t>
            </w:r>
            <w:r w:rsidRPr="00692E2B">
              <w:rPr>
                <w:rFonts w:ascii="Times New Roman" w:eastAsia="標楷體" w:hAnsi="Times New Roman" w:hint="eastAsia"/>
              </w:rPr>
              <w:t>(</w:t>
            </w:r>
            <w:r w:rsidRPr="00692E2B">
              <w:rPr>
                <w:rFonts w:ascii="Times New Roman" w:eastAsia="標楷體" w:hAnsi="Times New Roman" w:hint="eastAsia"/>
              </w:rPr>
              <w:t>櫃</w:t>
            </w:r>
            <w:r w:rsidRPr="00692E2B">
              <w:rPr>
                <w:rFonts w:ascii="Times New Roman" w:eastAsia="標楷體" w:hAnsi="Times New Roman" w:hint="eastAsia"/>
              </w:rPr>
              <w:t>)</w:t>
            </w:r>
            <w:r w:rsidRPr="00692E2B">
              <w:rPr>
                <w:rFonts w:ascii="Times New Roman" w:eastAsia="標楷體" w:hAnsi="Times New Roman" w:hint="eastAsia"/>
              </w:rPr>
              <w:t>股票一致</w:t>
            </w:r>
            <w:r w:rsidR="00842DF1" w:rsidRPr="00842DF1">
              <w:rPr>
                <w:rFonts w:ascii="Times New Roman" w:eastAsia="標楷體" w:hAnsi="Times New Roman" w:hint="eastAsia"/>
              </w:rPr>
              <w:t>，</w:t>
            </w:r>
            <w:proofErr w:type="gramStart"/>
            <w:r w:rsidR="00592ED2">
              <w:rPr>
                <w:rFonts w:ascii="Times New Roman" w:eastAsia="標楷體" w:hAnsi="Times New Roman" w:hint="eastAsia"/>
              </w:rPr>
              <w:t>爰</w:t>
            </w:r>
            <w:proofErr w:type="gramEnd"/>
            <w:r w:rsidR="00592ED2">
              <w:rPr>
                <w:rFonts w:ascii="Times New Roman" w:eastAsia="標楷體" w:hAnsi="Times New Roman" w:hint="eastAsia"/>
              </w:rPr>
              <w:t>調整</w:t>
            </w:r>
            <w:r>
              <w:rPr>
                <w:rFonts w:ascii="Times New Roman" w:eastAsia="標楷體" w:hAnsi="Times New Roman" w:hint="eastAsia"/>
              </w:rPr>
              <w:t>相關</w:t>
            </w:r>
            <w:r w:rsidR="007D747F">
              <w:rPr>
                <w:rFonts w:ascii="Times New Roman" w:eastAsia="標楷體" w:hAnsi="Times New Roman" w:hint="eastAsia"/>
              </w:rPr>
              <w:t>申報</w:t>
            </w:r>
            <w:r w:rsidR="00592ED2">
              <w:rPr>
                <w:rFonts w:ascii="Times New Roman" w:eastAsia="標楷體" w:hAnsi="Times New Roman" w:hint="eastAsia"/>
              </w:rPr>
              <w:t>時程</w:t>
            </w:r>
            <w:r w:rsidR="007D747F">
              <w:rPr>
                <w:rFonts w:ascii="Times New Roman" w:eastAsia="標楷體" w:hAnsi="Times New Roman" w:hint="eastAsia"/>
              </w:rPr>
              <w:t>：</w:t>
            </w:r>
          </w:p>
          <w:p w:rsidR="007D747F" w:rsidRDefault="00533F64" w:rsidP="007D747F">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Pr>
                <w:rFonts w:ascii="Times New Roman" w:eastAsia="標楷體" w:hAnsi="Times New Roman" w:hint="eastAsia"/>
              </w:rPr>
              <w:t>申報</w:t>
            </w:r>
            <w:r w:rsidR="007D747F">
              <w:rPr>
                <w:rFonts w:ascii="Times New Roman" w:eastAsia="標楷體" w:hAnsi="Times New Roman" w:hint="eastAsia"/>
              </w:rPr>
              <w:t>分配後之成交明細時間延長為當日下午</w:t>
            </w:r>
            <w:r w:rsidR="007D747F">
              <w:rPr>
                <w:rFonts w:ascii="Times New Roman" w:eastAsia="標楷體" w:hAnsi="Times New Roman" w:hint="eastAsia"/>
              </w:rPr>
              <w:t>4</w:t>
            </w:r>
            <w:r w:rsidR="007D747F">
              <w:rPr>
                <w:rFonts w:ascii="Times New Roman" w:eastAsia="標楷體" w:hAnsi="Times New Roman" w:hint="eastAsia"/>
              </w:rPr>
              <w:t>時至</w:t>
            </w:r>
            <w:r w:rsidR="007D747F">
              <w:rPr>
                <w:rFonts w:ascii="Times New Roman" w:eastAsia="標楷體" w:hAnsi="Times New Roman" w:hint="eastAsia"/>
              </w:rPr>
              <w:t>6</w:t>
            </w:r>
            <w:r w:rsidR="007D747F">
              <w:rPr>
                <w:rFonts w:ascii="Times New Roman" w:eastAsia="標楷體" w:hAnsi="Times New Roman" w:hint="eastAsia"/>
              </w:rPr>
              <w:t>時，</w:t>
            </w:r>
            <w:proofErr w:type="gramStart"/>
            <w:r w:rsidR="007D747F">
              <w:rPr>
                <w:rFonts w:ascii="Times New Roman" w:eastAsia="標楷體" w:hAnsi="Times New Roman" w:hint="eastAsia"/>
              </w:rPr>
              <w:t>爰</w:t>
            </w:r>
            <w:proofErr w:type="gramEnd"/>
            <w:r w:rsidR="007D747F">
              <w:rPr>
                <w:rFonts w:ascii="Times New Roman" w:eastAsia="標楷體" w:hAnsi="Times New Roman" w:hint="eastAsia"/>
              </w:rPr>
              <w:t>修正第二款第二目</w:t>
            </w:r>
            <w:r w:rsidR="00F0508B">
              <w:rPr>
                <w:rFonts w:ascii="Times New Roman" w:eastAsia="標楷體" w:hAnsi="Times New Roman" w:hint="eastAsia"/>
              </w:rPr>
              <w:t>規定</w:t>
            </w:r>
            <w:r w:rsidR="007D747F">
              <w:rPr>
                <w:rFonts w:ascii="Times New Roman" w:eastAsia="標楷體" w:hAnsi="Times New Roman" w:hint="eastAsia"/>
              </w:rPr>
              <w:t>。</w:t>
            </w:r>
          </w:p>
          <w:p w:rsidR="007D747F" w:rsidRDefault="000623E2" w:rsidP="007D747F">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Pr>
                <w:rFonts w:ascii="Times New Roman" w:eastAsia="標楷體" w:hAnsi="Times New Roman" w:hint="eastAsia"/>
              </w:rPr>
              <w:t>申報委託明細之時間延長至</w:t>
            </w:r>
            <w:r w:rsidR="00533F64">
              <w:rPr>
                <w:rFonts w:ascii="Times New Roman" w:eastAsia="標楷體" w:hAnsi="Times New Roman" w:hint="eastAsia"/>
              </w:rPr>
              <w:t>成交後</w:t>
            </w:r>
            <w:r>
              <w:rPr>
                <w:rFonts w:ascii="Times New Roman" w:eastAsia="標楷體" w:hAnsi="Times New Roman" w:hint="eastAsia"/>
              </w:rPr>
              <w:t>第一</w:t>
            </w:r>
            <w:r w:rsidR="00533F64">
              <w:rPr>
                <w:rFonts w:ascii="Times New Roman" w:eastAsia="標楷體" w:hAnsi="Times New Roman" w:hint="eastAsia"/>
              </w:rPr>
              <w:t>個</w:t>
            </w:r>
            <w:r>
              <w:rPr>
                <w:rFonts w:ascii="Times New Roman" w:eastAsia="標楷體" w:hAnsi="Times New Roman" w:hint="eastAsia"/>
              </w:rPr>
              <w:t>營業日</w:t>
            </w:r>
            <w:r w:rsidR="007D747F">
              <w:rPr>
                <w:rFonts w:ascii="Times New Roman" w:eastAsia="標楷體" w:hAnsi="Times New Roman" w:hint="eastAsia"/>
              </w:rPr>
              <w:t>下午</w:t>
            </w:r>
            <w:r w:rsidR="007D747F">
              <w:rPr>
                <w:rFonts w:ascii="Times New Roman" w:eastAsia="標楷體" w:hAnsi="Times New Roman" w:hint="eastAsia"/>
              </w:rPr>
              <w:t>6</w:t>
            </w:r>
            <w:r w:rsidR="007D747F">
              <w:rPr>
                <w:rFonts w:ascii="Times New Roman" w:eastAsia="標楷體" w:hAnsi="Times New Roman" w:hint="eastAsia"/>
              </w:rPr>
              <w:t>時</w:t>
            </w:r>
            <w:r>
              <w:rPr>
                <w:rFonts w:ascii="Times New Roman" w:eastAsia="標楷體" w:hAnsi="Times New Roman" w:hint="eastAsia"/>
              </w:rPr>
              <w:t>前</w:t>
            </w:r>
            <w:r w:rsidR="007D747F">
              <w:rPr>
                <w:rFonts w:ascii="Times New Roman" w:eastAsia="標楷體" w:hAnsi="Times New Roman" w:hint="eastAsia"/>
              </w:rPr>
              <w:t>，</w:t>
            </w:r>
            <w:proofErr w:type="gramStart"/>
            <w:r w:rsidR="007D747F">
              <w:rPr>
                <w:rFonts w:ascii="Times New Roman" w:eastAsia="標楷體" w:hAnsi="Times New Roman" w:hint="eastAsia"/>
              </w:rPr>
              <w:t>爰</w:t>
            </w:r>
            <w:proofErr w:type="gramEnd"/>
            <w:r w:rsidR="007D747F">
              <w:rPr>
                <w:rFonts w:ascii="Times New Roman" w:eastAsia="標楷體" w:hAnsi="Times New Roman" w:hint="eastAsia"/>
              </w:rPr>
              <w:t>修正</w:t>
            </w:r>
            <w:r>
              <w:rPr>
                <w:rFonts w:ascii="Times New Roman" w:eastAsia="標楷體" w:hAnsi="Times New Roman" w:hint="eastAsia"/>
              </w:rPr>
              <w:t>第三</w:t>
            </w:r>
            <w:r w:rsidR="007D747F">
              <w:rPr>
                <w:rFonts w:ascii="Times New Roman" w:eastAsia="標楷體" w:hAnsi="Times New Roman" w:hint="eastAsia"/>
              </w:rPr>
              <w:t>款</w:t>
            </w:r>
            <w:r w:rsidR="00F0508B">
              <w:rPr>
                <w:rFonts w:ascii="Times New Roman" w:eastAsia="標楷體" w:hAnsi="Times New Roman" w:hint="eastAsia"/>
              </w:rPr>
              <w:t>規定</w:t>
            </w:r>
            <w:r w:rsidR="007D747F">
              <w:rPr>
                <w:rFonts w:ascii="Times New Roman" w:eastAsia="標楷體" w:hAnsi="Times New Roman" w:hint="eastAsia"/>
              </w:rPr>
              <w:t>。</w:t>
            </w:r>
          </w:p>
          <w:p w:rsidR="000623E2" w:rsidRDefault="000623E2" w:rsidP="000623E2">
            <w:pPr>
              <w:pStyle w:val="aa"/>
              <w:widowControl/>
              <w:numPr>
                <w:ilvl w:val="0"/>
                <w:numId w:val="26"/>
              </w:numPr>
              <w:tabs>
                <w:tab w:val="left" w:pos="401"/>
                <w:tab w:val="left" w:pos="8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rPr>
            </w:pPr>
            <w:r w:rsidRPr="000623E2">
              <w:rPr>
                <w:rFonts w:ascii="Times New Roman" w:eastAsia="標楷體" w:hAnsi="Times New Roman" w:hint="eastAsia"/>
              </w:rPr>
              <w:t>成交分配後</w:t>
            </w:r>
            <w:proofErr w:type="gramStart"/>
            <w:r w:rsidRPr="000623E2">
              <w:rPr>
                <w:rFonts w:ascii="Times New Roman" w:eastAsia="標楷體" w:hAnsi="Times New Roman" w:hint="eastAsia"/>
              </w:rPr>
              <w:t>申報改帳及</w:t>
            </w:r>
            <w:proofErr w:type="gramEnd"/>
            <w:r w:rsidRPr="000623E2">
              <w:rPr>
                <w:rFonts w:ascii="Times New Roman" w:eastAsia="標楷體" w:hAnsi="Times New Roman" w:hint="eastAsia"/>
              </w:rPr>
              <w:t>調整成交分配作業</w:t>
            </w:r>
            <w:r>
              <w:rPr>
                <w:rFonts w:ascii="Times New Roman" w:eastAsia="標楷體" w:hAnsi="Times New Roman" w:hint="eastAsia"/>
              </w:rPr>
              <w:t>時間延長至成交日後第一營業日上午</w:t>
            </w:r>
            <w:r>
              <w:rPr>
                <w:rFonts w:ascii="Times New Roman" w:eastAsia="標楷體" w:hAnsi="Times New Roman" w:hint="eastAsia"/>
              </w:rPr>
              <w:t>9</w:t>
            </w:r>
            <w:r w:rsidRPr="009A2C46">
              <w:rPr>
                <w:rFonts w:ascii="Times New Roman" w:eastAsia="標楷體" w:hAnsi="Times New Roman" w:hint="eastAsia"/>
              </w:rPr>
              <w:t>時至</w:t>
            </w:r>
            <w:r w:rsidRPr="000623E2">
              <w:rPr>
                <w:rFonts w:ascii="Times New Roman" w:eastAsia="標楷體" w:hAnsi="Times New Roman" w:hint="eastAsia"/>
              </w:rPr>
              <w:t>下午</w:t>
            </w:r>
            <w:r>
              <w:rPr>
                <w:rFonts w:ascii="Times New Roman" w:eastAsia="標楷體" w:hAnsi="Times New Roman" w:hint="eastAsia"/>
              </w:rPr>
              <w:t>6</w:t>
            </w:r>
            <w:r w:rsidRPr="009A2C46">
              <w:rPr>
                <w:rFonts w:ascii="Times New Roman" w:eastAsia="標楷體" w:hAnsi="Times New Roman" w:hint="eastAsia"/>
              </w:rPr>
              <w:t>時</w:t>
            </w:r>
            <w:r>
              <w:rPr>
                <w:rFonts w:ascii="Times New Roman" w:eastAsia="標楷體" w:hAnsi="Times New Roman" w:hint="eastAsia"/>
              </w:rPr>
              <w:t>，</w:t>
            </w:r>
            <w:proofErr w:type="gramStart"/>
            <w:r>
              <w:rPr>
                <w:rFonts w:ascii="Times New Roman" w:eastAsia="標楷體" w:hAnsi="Times New Roman" w:hint="eastAsia"/>
              </w:rPr>
              <w:t>爰</w:t>
            </w:r>
            <w:proofErr w:type="gramEnd"/>
            <w:r>
              <w:rPr>
                <w:rFonts w:ascii="Times New Roman" w:eastAsia="標楷體" w:hAnsi="Times New Roman" w:hint="eastAsia"/>
              </w:rPr>
              <w:t>修正第五款第一目</w:t>
            </w:r>
            <w:r w:rsidR="00F0508B">
              <w:rPr>
                <w:rFonts w:ascii="Times New Roman" w:eastAsia="標楷體" w:hAnsi="Times New Roman" w:hint="eastAsia"/>
              </w:rPr>
              <w:t>規定</w:t>
            </w:r>
            <w:r>
              <w:rPr>
                <w:rFonts w:ascii="Times New Roman" w:eastAsia="標楷體" w:hAnsi="Times New Roman" w:hint="eastAsia"/>
              </w:rPr>
              <w:t>。</w:t>
            </w:r>
          </w:p>
          <w:p w:rsidR="000623E2" w:rsidRPr="007D747F" w:rsidRDefault="00DA6D16" w:rsidP="00DA6D16">
            <w:pPr>
              <w:widowControl/>
              <w:numPr>
                <w:ilvl w:val="0"/>
                <w:numId w:val="2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DA6D16">
              <w:rPr>
                <w:rFonts w:ascii="Times New Roman" w:eastAsia="標楷體" w:hAnsi="Times New Roman" w:hint="eastAsia"/>
              </w:rPr>
              <w:t>為因應證券商受託以外國委託人綜合交易帳戶</w:t>
            </w:r>
            <w:proofErr w:type="gramStart"/>
            <w:r w:rsidRPr="00DA6D16">
              <w:rPr>
                <w:rFonts w:ascii="Times New Roman" w:eastAsia="標楷體" w:hAnsi="Times New Roman" w:hint="eastAsia"/>
              </w:rPr>
              <w:t>買賣興櫃股票</w:t>
            </w:r>
            <w:proofErr w:type="gramEnd"/>
            <w:r w:rsidRPr="00DA6D16">
              <w:rPr>
                <w:rFonts w:ascii="Times New Roman" w:eastAsia="標楷體" w:hAnsi="Times New Roman" w:hint="eastAsia"/>
              </w:rPr>
              <w:t>時，無法即時取得投資人指示於成交當日進行成交明細分配，</w:t>
            </w:r>
            <w:proofErr w:type="gramStart"/>
            <w:r w:rsidRPr="00DA6D16">
              <w:rPr>
                <w:rFonts w:ascii="Times New Roman" w:eastAsia="標楷體" w:hAnsi="Times New Roman" w:hint="eastAsia"/>
              </w:rPr>
              <w:t>爰</w:t>
            </w:r>
            <w:proofErr w:type="gramEnd"/>
            <w:r w:rsidRPr="00DA6D16">
              <w:rPr>
                <w:rFonts w:ascii="Times New Roman" w:eastAsia="標楷體" w:hAnsi="Times New Roman" w:hint="eastAsia"/>
              </w:rPr>
              <w:t>參照上市</w:t>
            </w:r>
            <w:r w:rsidRPr="00DA6D16">
              <w:rPr>
                <w:rFonts w:ascii="Times New Roman" w:eastAsia="標楷體" w:hAnsi="Times New Roman" w:hint="eastAsia"/>
              </w:rPr>
              <w:t>(</w:t>
            </w:r>
            <w:r w:rsidRPr="00DA6D16">
              <w:rPr>
                <w:rFonts w:ascii="Times New Roman" w:eastAsia="標楷體" w:hAnsi="Times New Roman" w:hint="eastAsia"/>
              </w:rPr>
              <w:t>櫃</w:t>
            </w:r>
            <w:r w:rsidRPr="00DA6D16">
              <w:rPr>
                <w:rFonts w:ascii="Times New Roman" w:eastAsia="標楷體" w:hAnsi="Times New Roman" w:hint="eastAsia"/>
              </w:rPr>
              <w:t>)</w:t>
            </w:r>
            <w:r>
              <w:rPr>
                <w:rFonts w:ascii="Times New Roman" w:eastAsia="標楷體" w:hAnsi="Times New Roman" w:hint="eastAsia"/>
              </w:rPr>
              <w:t>股票之規定，</w:t>
            </w:r>
            <w:r>
              <w:rPr>
                <w:rFonts w:ascii="Times New Roman" w:eastAsia="標楷體" w:hAnsi="Times New Roman" w:hint="eastAsia"/>
              </w:rPr>
              <w:t xml:space="preserve"> </w:t>
            </w:r>
            <w:r>
              <w:rPr>
                <w:rFonts w:ascii="Times New Roman" w:eastAsia="標楷體" w:hAnsi="Times New Roman" w:hint="eastAsia"/>
              </w:rPr>
              <w:t>規範</w:t>
            </w:r>
            <w:r w:rsidRPr="00DA6D16">
              <w:rPr>
                <w:rFonts w:ascii="Times New Roman" w:eastAsia="標楷體" w:hAnsi="Times New Roman" w:hint="eastAsia"/>
              </w:rPr>
              <w:t>透過外國委託人綜合交易帳戶</w:t>
            </w:r>
            <w:r w:rsidRPr="00DA6D16">
              <w:rPr>
                <w:rFonts w:ascii="Times New Roman" w:eastAsia="標楷體" w:hAnsi="Times New Roman" w:hint="eastAsia"/>
              </w:rPr>
              <w:t>(995555-</w:t>
            </w:r>
            <w:r w:rsidRPr="00DA6D16">
              <w:rPr>
                <w:rFonts w:ascii="Times New Roman" w:eastAsia="標楷體" w:hAnsi="Times New Roman" w:hint="eastAsia"/>
              </w:rPr>
              <w:t>檢查碼</w:t>
            </w:r>
            <w:r w:rsidRPr="00DA6D16">
              <w:rPr>
                <w:rFonts w:ascii="Times New Roman" w:eastAsia="標楷體" w:hAnsi="Times New Roman" w:hint="eastAsia"/>
              </w:rPr>
              <w:t>)</w:t>
            </w:r>
            <w:proofErr w:type="gramStart"/>
            <w:r w:rsidRPr="00DA6D16">
              <w:rPr>
                <w:rFonts w:ascii="Times New Roman" w:eastAsia="標楷體" w:hAnsi="Times New Roman" w:hint="eastAsia"/>
              </w:rPr>
              <w:t>買賣興櫃股票</w:t>
            </w:r>
            <w:proofErr w:type="gramEnd"/>
            <w:r w:rsidRPr="00DA6D16">
              <w:rPr>
                <w:rFonts w:ascii="Times New Roman" w:eastAsia="標楷體" w:hAnsi="Times New Roman" w:hint="eastAsia"/>
              </w:rPr>
              <w:t>者，得</w:t>
            </w:r>
            <w:r>
              <w:rPr>
                <w:rFonts w:ascii="Times New Roman" w:eastAsia="標楷體" w:hAnsi="Times New Roman" w:hint="eastAsia"/>
              </w:rPr>
              <w:t>於成交當日下午</w:t>
            </w:r>
            <w:r>
              <w:rPr>
                <w:rFonts w:ascii="Times New Roman" w:eastAsia="標楷體" w:hAnsi="Times New Roman" w:hint="eastAsia"/>
              </w:rPr>
              <w:t>6</w:t>
            </w:r>
            <w:r>
              <w:rPr>
                <w:rFonts w:ascii="Times New Roman" w:eastAsia="標楷體" w:hAnsi="Times New Roman" w:hint="eastAsia"/>
              </w:rPr>
              <w:t>時前申報留存</w:t>
            </w:r>
            <w:r w:rsidRPr="00DA6D16">
              <w:rPr>
                <w:rFonts w:ascii="Times New Roman" w:eastAsia="標楷體" w:hAnsi="Times New Roman" w:hint="eastAsia"/>
              </w:rPr>
              <w:t>未完成分配之成交資料於原綜合交易帳戶下，</w:t>
            </w:r>
            <w:r>
              <w:rPr>
                <w:rFonts w:ascii="Times New Roman" w:eastAsia="標楷體" w:hAnsi="Times New Roman" w:hint="eastAsia"/>
              </w:rPr>
              <w:t>並於次一營業日上午</w:t>
            </w:r>
            <w:r>
              <w:rPr>
                <w:rFonts w:ascii="Times New Roman" w:eastAsia="標楷體" w:hAnsi="Times New Roman" w:hint="eastAsia"/>
              </w:rPr>
              <w:t>9</w:t>
            </w:r>
            <w:r>
              <w:rPr>
                <w:rFonts w:ascii="Times New Roman" w:eastAsia="標楷體" w:hAnsi="Times New Roman" w:hint="eastAsia"/>
              </w:rPr>
              <w:t>時至下午</w:t>
            </w:r>
            <w:r>
              <w:rPr>
                <w:rFonts w:ascii="Times New Roman" w:eastAsia="標楷體" w:hAnsi="Times New Roman" w:hint="eastAsia"/>
              </w:rPr>
              <w:t>6</w:t>
            </w:r>
            <w:r>
              <w:rPr>
                <w:rFonts w:ascii="Times New Roman" w:eastAsia="標楷體" w:hAnsi="Times New Roman" w:hint="eastAsia"/>
              </w:rPr>
              <w:t>時前完成分配，</w:t>
            </w:r>
            <w:proofErr w:type="gramStart"/>
            <w:r>
              <w:rPr>
                <w:rFonts w:ascii="Times New Roman" w:eastAsia="標楷體" w:hAnsi="Times New Roman" w:hint="eastAsia"/>
              </w:rPr>
              <w:t>爰</w:t>
            </w:r>
            <w:proofErr w:type="gramEnd"/>
            <w:r>
              <w:rPr>
                <w:rFonts w:ascii="Times New Roman" w:eastAsia="標楷體" w:hAnsi="Times New Roman" w:hint="eastAsia"/>
              </w:rPr>
              <w:t>新增第二款第二目但書</w:t>
            </w:r>
            <w:r w:rsidR="00F0508B">
              <w:rPr>
                <w:rFonts w:ascii="Times New Roman" w:eastAsia="標楷體" w:hAnsi="Times New Roman" w:hint="eastAsia"/>
              </w:rPr>
              <w:t>規</w:t>
            </w:r>
            <w:r w:rsidR="00F0508B">
              <w:rPr>
                <w:rFonts w:ascii="Times New Roman" w:eastAsia="標楷體" w:hAnsi="Times New Roman" w:hint="eastAsia"/>
              </w:rPr>
              <w:lastRenderedPageBreak/>
              <w:t>定</w:t>
            </w:r>
            <w:r w:rsidR="004454F9">
              <w:rPr>
                <w:rFonts w:ascii="Times New Roman" w:eastAsia="標楷體" w:hAnsi="Times New Roman" w:hint="eastAsia"/>
              </w:rPr>
              <w:t>。</w:t>
            </w:r>
          </w:p>
          <w:p w:rsidR="00592ED2" w:rsidRPr="007D747F" w:rsidRDefault="00592ED2" w:rsidP="00E606CE">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tc>
      </w:tr>
    </w:tbl>
    <w:p w:rsidR="00CB7F1B" w:rsidRPr="00E2387C" w:rsidRDefault="00CB7F1B"/>
    <w:sectPr w:rsidR="00CB7F1B" w:rsidRPr="00E2387C" w:rsidSect="00E774E5">
      <w:footerReference w:type="even" r:id="rId9"/>
      <w:footerReference w:type="default" r:id="rId10"/>
      <w:pgSz w:w="11906" w:h="16838" w:code="9"/>
      <w:pgMar w:top="1134"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C5" w:rsidRDefault="00D902C5" w:rsidP="00BC4557">
      <w:r>
        <w:separator/>
      </w:r>
    </w:p>
  </w:endnote>
  <w:endnote w:type="continuationSeparator" w:id="0">
    <w:p w:rsidR="00D902C5" w:rsidRDefault="00D902C5"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2067" w:rsidRDefault="00BC20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67" w:rsidRDefault="00BC2067">
    <w:pPr>
      <w:pStyle w:val="a5"/>
      <w:jc w:val="center"/>
    </w:pPr>
    <w:r>
      <w:fldChar w:fldCharType="begin"/>
    </w:r>
    <w:r>
      <w:instrText>PAGE   \* MERGEFORMAT</w:instrText>
    </w:r>
    <w:r>
      <w:fldChar w:fldCharType="separate"/>
    </w:r>
    <w:r w:rsidR="00324138" w:rsidRPr="00324138">
      <w:rPr>
        <w:noProof/>
        <w:lang w:val="zh-TW"/>
      </w:rPr>
      <w:t>1</w:t>
    </w:r>
    <w:r>
      <w:fldChar w:fldCharType="end"/>
    </w:r>
  </w:p>
  <w:p w:rsidR="00BC2067" w:rsidRDefault="00BC2067">
    <w:pPr>
      <w:pStyle w:val="a5"/>
      <w:jc w:val="right"/>
      <w:rPr>
        <w:rFonts w:eastAsia="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C5" w:rsidRDefault="00D902C5" w:rsidP="00BC4557">
      <w:r>
        <w:separator/>
      </w:r>
    </w:p>
  </w:footnote>
  <w:footnote w:type="continuationSeparator" w:id="0">
    <w:p w:rsidR="00D902C5" w:rsidRDefault="00D902C5" w:rsidP="00BC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24138"/>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F7C25"/>
    <w:rsid w:val="00C1144C"/>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902C5"/>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4531-FCD8-44F0-B0D7-46E5771F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2</cp:revision>
  <cp:lastPrinted>2016-01-22T03:31:00Z</cp:lastPrinted>
  <dcterms:created xsi:type="dcterms:W3CDTF">2016-02-02T00:51:00Z</dcterms:created>
  <dcterms:modified xsi:type="dcterms:W3CDTF">2016-02-02T00:51:00Z</dcterms:modified>
</cp:coreProperties>
</file>